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44"/>
          <w:szCs w:val="44"/>
        </w:rPr>
      </w:pPr>
      <w:r>
        <w:rPr>
          <w:rFonts w:ascii="黑体" w:hAnsi="黑体" w:eastAsia="黑体" w:cs="黑体"/>
          <w:sz w:val="44"/>
          <w:szCs w:val="44"/>
        </w:rPr>
        <w:t>202</w:t>
      </w:r>
      <w:r>
        <w:rPr>
          <w:rFonts w:hint="eastAsia" w:ascii="黑体" w:hAnsi="黑体" w:eastAsia="黑体" w:cs="黑体"/>
          <w:sz w:val="44"/>
          <w:szCs w:val="44"/>
        </w:rPr>
        <w:t>2年上城区重大基础设施建设任务</w:t>
      </w:r>
    </w:p>
    <w:p>
      <w:pPr>
        <w:jc w:val="center"/>
        <w:rPr>
          <w:rFonts w:ascii="黑体" w:hAnsi="黑体" w:eastAsia="黑体" w:cs="黑体"/>
          <w:sz w:val="44"/>
          <w:szCs w:val="44"/>
        </w:rPr>
      </w:pPr>
      <w:r>
        <w:rPr>
          <w:rFonts w:hint="eastAsia" w:ascii="黑体" w:hAnsi="黑体" w:eastAsia="黑体" w:cs="黑体"/>
          <w:sz w:val="44"/>
          <w:szCs w:val="44"/>
        </w:rPr>
        <w:t>共性目标</w:t>
      </w:r>
    </w:p>
    <w:tbl>
      <w:tblPr>
        <w:tblStyle w:val="5"/>
        <w:tblW w:w="8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594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bookmarkStart w:id="0" w:name="_GoBack"/>
            <w:r>
              <w:rPr>
                <w:rFonts w:hint="eastAsia" w:ascii="仿宋" w:hAnsi="仿宋" w:eastAsia="仿宋" w:cs="仿宋"/>
                <w:b/>
                <w:bCs/>
                <w:spacing w:val="-10"/>
                <w:kern w:val="2"/>
                <w:sz w:val="24"/>
                <w:szCs w:val="24"/>
                <w:highlight w:val="none"/>
                <w:lang w:val="en-US" w:eastAsia="zh-CN" w:bidi="ar-SA"/>
              </w:rPr>
              <w:t>序号</w:t>
            </w:r>
          </w:p>
        </w:tc>
        <w:tc>
          <w:tcPr>
            <w:tcW w:w="594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目标名称</w:t>
            </w:r>
          </w:p>
        </w:tc>
        <w:tc>
          <w:tcPr>
            <w:tcW w:w="141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一</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按市委市政府工作任务和省建设厅各类要求，制定本区年度工作目标，重要内容不少报、漏报；并做好台帐整理。</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二</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编制建设计划</w:t>
            </w:r>
          </w:p>
        </w:tc>
        <w:tc>
          <w:tcPr>
            <w:tcW w:w="1417" w:type="dxa"/>
            <w:noWrap w:val="0"/>
            <w:vAlign w:val="center"/>
          </w:tcPr>
          <w:p>
            <w:pPr>
              <w:adjustRightInd w:val="0"/>
              <w:snapToGrid w:val="0"/>
              <w:jc w:val="center"/>
              <w:rPr>
                <w:rFonts w:ascii="仿宋" w:hAnsi="仿宋" w:eastAsia="仿宋" w:cs="Times New Roman"/>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结合区域发展规划开展并细化辖区内十四五路网（含联网路专篇）建设规划。</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制定2022年度建筑工业化工作计划，明确装配式建筑目标任务并组织实施。</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配合做好《杭州市停车设施专项规划》编制工作。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三</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推进专项行动</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根据省市治堵考核目标，推进快速路及配套城市道路、过街设施等项目建设。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关于进一步提升杭州市市政道路工程质量管理的若干意见》及相关配套文件要求，做好“迎亚运”道路建设项目工程质量管理工作，做好已建成道路质量“回头看”工作，做好道路红线内外“工完场清”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3</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根据《“迎亚运”城市基础设施建设百日攻坚方案》（亚杭指〔2022〕7号）文件要求，落实市运保指挥部、市“迎亚运”道路行动专班相关工作。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根据《杭州市打通“断头路”（三年）及“中环”建设（五年）行动计划》要求，推进断头路项目建设。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5</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ascii="仿宋" w:hAnsi="仿宋" w:eastAsia="仿宋" w:cs="仿宋"/>
                <w:color w:val="000000" w:themeColor="text1"/>
                <w:spacing w:val="-10"/>
                <w:sz w:val="24"/>
                <w:szCs w:val="24"/>
                <w14:textFill>
                  <w14:solidFill>
                    <w14:schemeClr w14:val="tx1"/>
                  </w14:solidFill>
                </w14:textFill>
              </w:rPr>
              <w:t>20</w:t>
            </w:r>
            <w:r>
              <w:rPr>
                <w:rFonts w:hint="eastAsia" w:ascii="仿宋" w:hAnsi="仿宋" w:eastAsia="仿宋" w:cs="仿宋"/>
                <w:color w:val="000000" w:themeColor="text1"/>
                <w:spacing w:val="-10"/>
                <w:sz w:val="24"/>
                <w:szCs w:val="24"/>
                <w:lang w:val="en-US" w:eastAsia="zh-CN"/>
                <w14:textFill>
                  <w14:solidFill>
                    <w14:schemeClr w14:val="tx1"/>
                  </w14:solidFill>
                </w14:textFill>
              </w:rPr>
              <w:t>20</w:t>
            </w:r>
            <w:r>
              <w:rPr>
                <w:rFonts w:hint="eastAsia" w:ascii="仿宋" w:hAnsi="仿宋" w:eastAsia="仿宋" w:cs="仿宋"/>
                <w:color w:val="000000" w:themeColor="text1"/>
                <w:spacing w:val="-10"/>
                <w:sz w:val="24"/>
                <w:szCs w:val="24"/>
                <w14:textFill>
                  <w14:solidFill>
                    <w14:schemeClr w14:val="tx1"/>
                  </w14:solidFill>
                </w14:textFill>
              </w:rPr>
              <w:t>年</w:t>
            </w:r>
            <w:r>
              <w:rPr>
                <w:rFonts w:hint="eastAsia" w:ascii="仿宋" w:hAnsi="仿宋" w:eastAsia="仿宋" w:cs="仿宋"/>
                <w:color w:val="000000" w:themeColor="text1"/>
                <w:spacing w:val="-10"/>
                <w:sz w:val="24"/>
                <w:szCs w:val="24"/>
                <w:lang w:val="en-US" w:eastAsia="zh-CN"/>
                <w14:textFill>
                  <w14:solidFill>
                    <w14:schemeClr w14:val="tx1"/>
                  </w14:solidFill>
                </w14:textFill>
              </w:rPr>
              <w:t>底</w:t>
            </w:r>
            <w:r>
              <w:rPr>
                <w:rFonts w:hint="eastAsia" w:ascii="仿宋" w:hAnsi="仿宋" w:eastAsia="仿宋" w:cs="仿宋"/>
                <w:color w:val="000000" w:themeColor="text1"/>
                <w:spacing w:val="-10"/>
                <w:sz w:val="24"/>
                <w:szCs w:val="24"/>
                <w14:textFill>
                  <w14:solidFill>
                    <w14:schemeClr w14:val="tx1"/>
                  </w14:solidFill>
                </w14:textFill>
              </w:rPr>
              <w:t>前</w:t>
            </w:r>
            <w:r>
              <w:rPr>
                <w:rFonts w:hint="eastAsia" w:ascii="仿宋" w:hAnsi="仿宋" w:eastAsia="仿宋" w:cs="仿宋"/>
                <w:color w:val="000000" w:themeColor="text1"/>
                <w:spacing w:val="-10"/>
                <w:sz w:val="24"/>
                <w:szCs w:val="24"/>
                <w:lang w:val="en-US" w:eastAsia="zh-CN"/>
                <w14:textFill>
                  <w14:solidFill>
                    <w14:schemeClr w14:val="tx1"/>
                  </w14:solidFill>
                </w14:textFill>
              </w:rPr>
              <w:t>建成的市政道路（含排水、桥梁、隧道）项目</w:t>
            </w:r>
            <w:r>
              <w:rPr>
                <w:rFonts w:hint="eastAsia" w:ascii="仿宋" w:hAnsi="仿宋" w:eastAsia="仿宋" w:cs="仿宋"/>
                <w:color w:val="000000" w:themeColor="text1"/>
                <w:spacing w:val="-10"/>
                <w:sz w:val="24"/>
                <w:szCs w:val="24"/>
                <w:lang w:eastAsia="zh-CN"/>
                <w14:textFill>
                  <w14:solidFill>
                    <w14:schemeClr w14:val="tx1"/>
                  </w14:solidFill>
                </w14:textFill>
              </w:rPr>
              <w:t>完成</w:t>
            </w:r>
            <w:r>
              <w:rPr>
                <w:rFonts w:hint="eastAsia" w:ascii="仿宋" w:hAnsi="仿宋" w:eastAsia="仿宋" w:cs="仿宋"/>
                <w:color w:val="000000" w:themeColor="text1"/>
                <w:spacing w:val="-10"/>
                <w:sz w:val="24"/>
                <w:szCs w:val="24"/>
                <w14:textFill>
                  <w14:solidFill>
                    <w14:schemeClr w14:val="tx1"/>
                  </w14:solidFill>
                </w14:textFill>
              </w:rPr>
              <w:t>移交</w:t>
            </w:r>
            <w:r>
              <w:rPr>
                <w:rFonts w:hint="eastAsia" w:ascii="仿宋" w:hAnsi="仿宋" w:eastAsia="仿宋" w:cs="仿宋"/>
                <w:color w:val="000000" w:themeColor="text1"/>
                <w:spacing w:val="-10"/>
                <w:sz w:val="24"/>
                <w:szCs w:val="24"/>
                <w:lang w:val="en-US" w:eastAsia="zh-CN"/>
                <w14:textFill>
                  <w14:solidFill>
                    <w14:schemeClr w14:val="tx1"/>
                  </w14:solidFill>
                </w14:textFill>
              </w:rPr>
              <w:t>工作；</w:t>
            </w:r>
            <w:r>
              <w:rPr>
                <w:rFonts w:ascii="仿宋" w:hAnsi="仿宋" w:eastAsia="仿宋" w:cs="仿宋"/>
                <w:color w:val="000000" w:themeColor="text1"/>
                <w:spacing w:val="-10"/>
                <w:sz w:val="24"/>
                <w:szCs w:val="24"/>
                <w14:textFill>
                  <w14:solidFill>
                    <w14:schemeClr w14:val="tx1"/>
                  </w14:solidFill>
                </w14:textFill>
              </w:rPr>
              <w:t>20</w:t>
            </w:r>
            <w:r>
              <w:rPr>
                <w:rFonts w:hint="eastAsia" w:ascii="仿宋" w:hAnsi="仿宋" w:eastAsia="仿宋" w:cs="仿宋"/>
                <w:color w:val="000000" w:themeColor="text1"/>
                <w:spacing w:val="-10"/>
                <w:sz w:val="24"/>
                <w:szCs w:val="24"/>
                <w14:textFill>
                  <w14:solidFill>
                    <w14:schemeClr w14:val="tx1"/>
                  </w14:solidFill>
                </w14:textFill>
              </w:rPr>
              <w:t>2</w:t>
            </w:r>
            <w:r>
              <w:rPr>
                <w:rFonts w:hint="eastAsia" w:ascii="仿宋" w:hAnsi="仿宋" w:eastAsia="仿宋" w:cs="仿宋"/>
                <w:color w:val="000000" w:themeColor="text1"/>
                <w:spacing w:val="-10"/>
                <w:sz w:val="24"/>
                <w:szCs w:val="24"/>
                <w:lang w:val="en-US" w:eastAsia="zh-CN"/>
                <w14:textFill>
                  <w14:solidFill>
                    <w14:schemeClr w14:val="tx1"/>
                  </w14:solidFill>
                </w14:textFill>
              </w:rPr>
              <w:t>1</w:t>
            </w:r>
            <w:r>
              <w:rPr>
                <w:rFonts w:hint="eastAsia" w:ascii="仿宋" w:hAnsi="仿宋" w:eastAsia="仿宋" w:cs="仿宋"/>
                <w:color w:val="000000" w:themeColor="text1"/>
                <w:spacing w:val="-10"/>
                <w:sz w:val="24"/>
                <w:szCs w:val="24"/>
                <w14:textFill>
                  <w14:solidFill>
                    <w14:schemeClr w14:val="tx1"/>
                  </w14:solidFill>
                </w14:textFill>
              </w:rPr>
              <w:t>年</w:t>
            </w:r>
            <w:r>
              <w:rPr>
                <w:rFonts w:hint="eastAsia" w:ascii="仿宋" w:hAnsi="仿宋" w:eastAsia="仿宋" w:cs="仿宋"/>
                <w:color w:val="000000" w:themeColor="text1"/>
                <w:spacing w:val="-10"/>
                <w:sz w:val="24"/>
                <w:szCs w:val="24"/>
                <w:lang w:val="en-US" w:eastAsia="zh-CN"/>
                <w14:textFill>
                  <w14:solidFill>
                    <w14:schemeClr w14:val="tx1"/>
                  </w14:solidFill>
                </w14:textFill>
              </w:rPr>
              <w:t>底前建成的</w:t>
            </w:r>
            <w:r>
              <w:rPr>
                <w:rFonts w:hint="eastAsia" w:ascii="仿宋" w:hAnsi="仿宋" w:eastAsia="仿宋" w:cs="仿宋"/>
                <w:color w:val="000000" w:themeColor="text1"/>
                <w:spacing w:val="-10"/>
                <w:sz w:val="24"/>
                <w:szCs w:val="24"/>
                <w14:textFill>
                  <w14:solidFill>
                    <w14:schemeClr w14:val="tx1"/>
                  </w14:solidFill>
                </w14:textFill>
              </w:rPr>
              <w:t>项目完成</w:t>
            </w:r>
            <w:r>
              <w:rPr>
                <w:rFonts w:hint="eastAsia" w:ascii="仿宋" w:hAnsi="仿宋" w:eastAsia="仿宋" w:cs="仿宋"/>
                <w:color w:val="000000" w:themeColor="text1"/>
                <w:spacing w:val="-10"/>
                <w:sz w:val="24"/>
                <w:szCs w:val="24"/>
                <w:lang w:val="en-US" w:eastAsia="zh-CN"/>
                <w14:textFill>
                  <w14:solidFill>
                    <w14:schemeClr w14:val="tx1"/>
                  </w14:solidFill>
                </w14:textFill>
              </w:rPr>
              <w:t>子项总量</w:t>
            </w:r>
            <w:r>
              <w:rPr>
                <w:rFonts w:ascii="仿宋" w:hAnsi="仿宋" w:eastAsia="仿宋" w:cs="仿宋"/>
                <w:color w:val="000000" w:themeColor="text1"/>
                <w:spacing w:val="-10"/>
                <w:sz w:val="24"/>
                <w:szCs w:val="24"/>
                <w14:textFill>
                  <w14:solidFill>
                    <w14:schemeClr w14:val="tx1"/>
                  </w14:solidFill>
                </w14:textFill>
              </w:rPr>
              <w:t>80%</w:t>
            </w:r>
            <w:r>
              <w:rPr>
                <w:rFonts w:hint="eastAsia" w:ascii="仿宋" w:hAnsi="仿宋" w:eastAsia="仿宋" w:cs="仿宋"/>
                <w:color w:val="000000" w:themeColor="text1"/>
                <w:spacing w:val="-10"/>
                <w:sz w:val="24"/>
                <w:szCs w:val="24"/>
                <w14:textFill>
                  <w14:solidFill>
                    <w14:schemeClr w14:val="tx1"/>
                  </w14:solidFill>
                </w14:textFill>
              </w:rPr>
              <w:t>移交</w:t>
            </w:r>
            <w:r>
              <w:rPr>
                <w:rFonts w:hint="eastAsia" w:ascii="仿宋" w:hAnsi="仿宋" w:eastAsia="仿宋" w:cs="仿宋"/>
                <w:color w:val="000000" w:themeColor="text1"/>
                <w:spacing w:val="-10"/>
                <w:sz w:val="24"/>
                <w:szCs w:val="24"/>
                <w:lang w:val="en-US" w:eastAsia="zh-CN"/>
                <w14:textFill>
                  <w14:solidFill>
                    <w14:schemeClr w14:val="tx1"/>
                  </w14:solidFill>
                </w14:textFill>
              </w:rPr>
              <w:t>工作；已移交满一年的项目完成质量回访手续。</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6</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根据《杭州市城镇污水处理系统提质增效工作方案》、《杭州市城镇污水处理提质增效三年行动方案（2019-2021）》要求，做好相关工作。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7</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根据《杭州市绿色建筑专项规划》（杭建科〔2017〕179号）、《2022年杭州市装配式建筑工作要点》（杭建工业办〔2022〕1号）等文件要求，做好装配式建筑（建筑工业化）推进工作。</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8</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kern w:val="2"/>
                <w:sz w:val="24"/>
                <w:szCs w:val="24"/>
                <w:highlight w:val="none"/>
                <w:lang w:val="en-US" w:eastAsia="zh-CN" w:bidi="ar-SA"/>
              </w:rPr>
              <w:t>根据《杭州市人民政府办公厅关于印发2022年省政府十方面民生实事杭州市责任分解的通知》、省治堵办《2022年治理城市交通拥堵工作任务书（征求意见稿）》、《2022年度杭州市治理城市交通拥堵工作专项目标考评方案》、《2022年杭州市停车场（库）建设任务书》等文件要求，开展新增停车泊位建设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Times New Roman"/>
                <w:color w:val="000000" w:themeColor="text1"/>
                <w:spacing w:val="-20"/>
                <w:position w:val="6"/>
                <w:lang w:eastAsia="zh-CN"/>
                <w14:textFill>
                  <w14:solidFill>
                    <w14:schemeClr w14:val="tx1"/>
                  </w14:solidFill>
                </w14:textFill>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9</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Times New Roman"/>
                <w:color w:val="000000" w:themeColor="text1"/>
                <w:spacing w:val="-10"/>
                <w:kern w:val="2"/>
                <w:sz w:val="24"/>
                <w:szCs w:val="24"/>
                <w:lang w:val="en-US" w:eastAsia="zh-CN" w:bidi="ar-SA"/>
                <w14:textFill>
                  <w14:solidFill>
                    <w14:schemeClr w14:val="tx1"/>
                  </w14:solidFill>
                </w14:textFill>
              </w:rPr>
              <w:t>根据国务院办公厅《新能源汽车产业发展规划（2021—2035年）》（国办发〔2020〕39号）、《浙江省充电基础设施发展“十四五”规划》（浙能源〔2021〕6号）、《省发展改革委省能源局关于下达2022年浙江省充换电基础设施建设发展计划的通知》（浙发改能源函〔2022〕218号）、《杭州市2022年度治理城市交通拥堵工作计划》等文件要求，推动亚运赛场、党政机关、公共机构、企事业单位和新能源货车、环卫车常驻地配套充电桩建设；推进小区共用充电桩建设，协调自用充电桩安装。积极推进所属相关停车场各类充电桩建设。</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auto"/>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10</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照《财政部办公厅、住房城乡建设部办公厅、水利部办公厅关于开展系统化全域推进海绵城市建设示范工作的通知》（财办建〔2021〕35号）等文件要求，新建项目在地块建设条件须知中应明确海绵相关指标，方案及初步设计文本应根据《杭州市建设项目海绵城市设计文件编制导则》（杭建设发〔2020〕116号）要求包含杭州建设项目海绵城市设计专篇内容，在施工许可阶段落实海绵内容图审，对审批的项目做好批后监管工作，重点监管有无落实批复要求，涉及海绵内容调整的要有相关论证和依据，在竣工验收阶段落实海绵内容按图验收，在管理养护阶段建立海绵设施日常管理制度；完成《2022年度系统化全域推进海绵城市建设示范城市绩效目标情况表》（详见杭建城〔2021〕177号）中涉及的数量指标、质量指标、经济效益指标、社会效益指标要求；完成系统化全域海绵城市建设实施方案编制；加强中央补助资金的监管，确保受补助的项目基本建设管理合法合规。</w:t>
            </w:r>
          </w:p>
        </w:tc>
        <w:tc>
          <w:tcPr>
            <w:tcW w:w="1417" w:type="dxa"/>
            <w:noWrap w:val="0"/>
            <w:vAlign w:val="center"/>
          </w:tcPr>
          <w:p>
            <w:pPr>
              <w:spacing w:line="240" w:lineRule="atLeast"/>
              <w:jc w:val="center"/>
              <w:rPr>
                <w:rFonts w:hint="eastAsia" w:ascii="仿宋" w:hAnsi="仿宋" w:eastAsia="仿宋" w:cs="Times New Roman"/>
                <w:color w:val="000000" w:themeColor="text1"/>
                <w:spacing w:val="-20"/>
                <w:kern w:val="2"/>
                <w:position w:val="6"/>
                <w:sz w:val="21"/>
                <w:szCs w:val="21"/>
                <w:lang w:val="en-US" w:eastAsia="zh-CN" w:bidi="ar-SA"/>
                <w14:textFill>
                  <w14:solidFill>
                    <w14:schemeClr w14:val="tx1"/>
                  </w14:solidFill>
                </w14:textFill>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四</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规范工程管理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根据省、市相关要求，加强工程质量、安全、文明施工管理。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完善前期手续办理，新开工项目要求取得施工许可证后开工建设。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对于应实施装配式建造的建筑项目，在设计审批、许可证核发、现场监管等环节落实装配式建造的有关要求。</w:t>
            </w:r>
          </w:p>
        </w:tc>
        <w:tc>
          <w:tcPr>
            <w:tcW w:w="1417" w:type="dxa"/>
            <w:noWrap w:val="0"/>
            <w:vAlign w:val="center"/>
          </w:tcPr>
          <w:p>
            <w:pPr>
              <w:spacing w:line="320" w:lineRule="exact"/>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地下管线管廊项目竣工后，按照相关技术标准和规定，做好竣工测绘工作，编制汇交成果，并向市建委汇交数据。</w:t>
            </w:r>
          </w:p>
        </w:tc>
        <w:tc>
          <w:tcPr>
            <w:tcW w:w="1417" w:type="dxa"/>
            <w:noWrap w:val="0"/>
            <w:vAlign w:val="center"/>
          </w:tcPr>
          <w:p>
            <w:pPr>
              <w:spacing w:line="320" w:lineRule="exact"/>
              <w:jc w:val="center"/>
              <w:rPr>
                <w:rFonts w:hint="eastAsia" w:ascii="仿宋" w:hAnsi="仿宋" w:eastAsia="仿宋" w:cs="仿宋"/>
                <w:spacing w:val="-10"/>
                <w:sz w:val="24"/>
                <w:szCs w:val="24"/>
                <w:lang w:eastAsia="zh-CN"/>
              </w:rPr>
            </w:pPr>
            <w:r>
              <w:rPr>
                <w:rFonts w:hint="eastAsia" w:ascii="仿宋" w:hAnsi="仿宋" w:eastAsia="仿宋" w:cs="仿宋"/>
                <w:spacing w:val="-10"/>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五</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其他工作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落实中央巡视、第二轮中央环保督察、长江经济带等环保问题“举一反三”整改工作。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做好无障碍设施建设、整改及移交工作。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做好征地拆迁及相关信访维稳工作。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 xml:space="preserve">落实中央、省委、市委《关于开展扫黑除恶专项斗争》的决策部署。  </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六</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完成其他临时交办工作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bl>
    <w:p>
      <w:pPr>
        <w:jc w:val="center"/>
        <w:rPr>
          <w:rFonts w:ascii="黑体" w:hAnsi="黑体" w:eastAsia="黑体" w:cs="黑体"/>
          <w:color w:val="000000" w:themeColor="text1"/>
          <w:sz w:val="44"/>
          <w:szCs w:val="44"/>
          <w14:textFill>
            <w14:solidFill>
              <w14:schemeClr w14:val="tx1"/>
            </w14:solidFill>
          </w14:textFill>
        </w:rPr>
      </w:pPr>
    </w:p>
    <w:bookmarkEnd w:id="0"/>
    <w:p>
      <w:pPr>
        <w:jc w:val="center"/>
        <w:rPr>
          <w:rFonts w:ascii="黑体" w:hAnsi="黑体" w:eastAsia="黑体" w:cs="Times New Roman"/>
          <w:color w:val="000000" w:themeColor="text1"/>
          <w:sz w:val="44"/>
          <w:szCs w:val="44"/>
          <w14:textFill>
            <w14:solidFill>
              <w14:schemeClr w14:val="tx1"/>
            </w14:solidFill>
          </w14:textFill>
        </w:rPr>
      </w:pPr>
      <w:r>
        <w:rPr>
          <w:rFonts w:ascii="黑体" w:hAnsi="黑体" w:eastAsia="黑体" w:cs="黑体"/>
          <w:color w:val="000000" w:themeColor="text1"/>
          <w:sz w:val="44"/>
          <w:szCs w:val="44"/>
          <w14:textFill>
            <w14:solidFill>
              <w14:schemeClr w14:val="tx1"/>
            </w14:solidFill>
          </w14:textFill>
        </w:rPr>
        <w:t>202</w:t>
      </w:r>
      <w:r>
        <w:rPr>
          <w:rFonts w:hint="eastAsia" w:ascii="黑体" w:hAnsi="黑体" w:eastAsia="黑体" w:cs="黑体"/>
          <w:color w:val="000000" w:themeColor="text1"/>
          <w:sz w:val="44"/>
          <w:szCs w:val="44"/>
          <w14:textFill>
            <w14:solidFill>
              <w14:schemeClr w14:val="tx1"/>
            </w14:solidFill>
          </w14:textFill>
        </w:rPr>
        <w:t>2年上城区重大基础设施建设任务</w:t>
      </w:r>
    </w:p>
    <w:p>
      <w:pPr>
        <w:jc w:val="center"/>
        <w:rPr>
          <w:rFonts w:ascii="黑体" w:hAnsi="黑体" w:eastAsia="黑体" w:cs="Times New Roman"/>
          <w:color w:val="000000" w:themeColor="text1"/>
          <w:sz w:val="44"/>
          <w:szCs w:val="44"/>
          <w14:textFill>
            <w14:solidFill>
              <w14:schemeClr w14:val="tx1"/>
            </w14:solidFill>
          </w14:textFill>
        </w:rPr>
      </w:pPr>
      <w:r>
        <w:rPr>
          <w:rFonts w:hint="eastAsia" w:ascii="黑体" w:hAnsi="黑体" w:eastAsia="黑体" w:cs="黑体"/>
          <w:color w:val="000000" w:themeColor="text1"/>
          <w:sz w:val="44"/>
          <w:szCs w:val="44"/>
          <w14:textFill>
            <w14:solidFill>
              <w14:schemeClr w14:val="tx1"/>
            </w14:solidFill>
          </w14:textFill>
        </w:rPr>
        <w:t>个性目标</w:t>
      </w:r>
    </w:p>
    <w:tbl>
      <w:tblPr>
        <w:tblStyle w:val="5"/>
        <w:tblW w:w="8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5917"/>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序号</w:t>
            </w:r>
          </w:p>
        </w:tc>
        <w:tc>
          <w:tcPr>
            <w:tcW w:w="5917"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目标考核内容及指标</w:t>
            </w:r>
          </w:p>
        </w:tc>
        <w:tc>
          <w:tcPr>
            <w:tcW w:w="1200"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jc w:val="center"/>
              <w:rPr>
                <w:rFonts w:ascii="仿宋" w:hAnsi="仿宋" w:eastAsia="仿宋" w:cs="仿宋"/>
                <w:b/>
                <w:bCs/>
                <w:color w:val="000000" w:themeColor="text1"/>
                <w:spacing w:val="-10"/>
                <w:position w:val="6"/>
                <w:sz w:val="24"/>
                <w:szCs w:val="24"/>
                <w:lang w:val="en"/>
                <w14:textFill>
                  <w14:solidFill>
                    <w14:schemeClr w14:val="tx1"/>
                  </w14:solidFill>
                </w14:textFill>
              </w:rPr>
            </w:pPr>
            <w:r>
              <w:rPr>
                <w:rFonts w:hint="eastAsia" w:ascii="仿宋" w:hAnsi="仿宋" w:eastAsia="仿宋" w:cs="仿宋"/>
                <w:b/>
                <w:bCs/>
                <w:color w:val="000000" w:themeColor="text1"/>
                <w:spacing w:val="-10"/>
                <w:position w:val="6"/>
                <w:sz w:val="24"/>
                <w:szCs w:val="24"/>
                <w:lang w:val="en"/>
                <w14:textFill>
                  <w14:solidFill>
                    <w14:schemeClr w14:val="tx1"/>
                  </w14:solidFill>
                </w14:textFill>
              </w:rPr>
              <w:t>一</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城市道路及城镇污水处理设施建设</w:t>
            </w:r>
          </w:p>
        </w:tc>
        <w:tc>
          <w:tcPr>
            <w:tcW w:w="1200"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（一）</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快速路建设</w:t>
            </w:r>
          </w:p>
        </w:tc>
        <w:tc>
          <w:tcPr>
            <w:tcW w:w="1200"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无</w:t>
            </w:r>
          </w:p>
        </w:tc>
        <w:tc>
          <w:tcPr>
            <w:tcW w:w="1200"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（二）</w:t>
            </w:r>
          </w:p>
        </w:tc>
        <w:tc>
          <w:tcPr>
            <w:tcW w:w="5917" w:type="dxa"/>
            <w:vAlign w:val="center"/>
          </w:tcPr>
          <w:p>
            <w:pP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地铁重建道路建设</w:t>
            </w:r>
          </w:p>
        </w:tc>
        <w:tc>
          <w:tcPr>
            <w:tcW w:w="1200"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建成并开通：明石路（六号港桥-南都路）、明石路（花园路-备塘路）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建成并开通：昙花庵路（运河东路-塘工局路）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建成并开通：江城路、建国路（庆春路-解放路）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建成并开通：九睦路、同协路（大农港路-五会港桥）、新业路、天都路（东风港路-区界）、河坊街（南山路-华光路）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建成并开通：东宁路（花园兜街-德胜路）、东宁路（云宁巷-环站南路）、大农港路、秋涛路、钱江路、河坊街（中河路-江城路）、解放东路（钱江路-杭海路）、丁兰路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（三）</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“断头路”三年行动计划</w:t>
            </w:r>
          </w:p>
        </w:tc>
        <w:tc>
          <w:tcPr>
            <w:tcW w:w="1200"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建成并开通：凯旋路五期（婺江路-甘王路）、九沙里路（九盛路-杭海路）、笕桥生态公元单元药香路（开创街-船舫兜路）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开工：侯潮路（规划海潮路-秋涛路）、沿山路（龙鹤路-天秤路）、九盛路（冯普路-沪杭高速地面道路）、钱江支路（钱江路-飞云江路）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（四）</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主次干路</w:t>
            </w:r>
          </w:p>
        </w:tc>
        <w:tc>
          <w:tcPr>
            <w:tcW w:w="1200"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建成并开通：杭海路（九田路-临平区界）、明月桥路（备塘路-艮山东路）、明石路（沪杭高速—建华路）、东城路（杭海路-和睦港东侧绿化带）、东宁路蔡阳路打通工程</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开工：海潮路（甘王路-清江路）、开创街（浜河路-沪杭高速公路）、明石路（六号港-规划支路二）、九州路（冯普路-沪杭高速）</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前期：红普路（三胜街北侧-农垦路）、凯旋路（解放路-清江路）、相埠路（黎明路-笕石路）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（五）</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支路</w:t>
            </w:r>
          </w:p>
        </w:tc>
        <w:tc>
          <w:tcPr>
            <w:tcW w:w="1200"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建成并开通：建华路（现名九和路）道路提升整治工程（备塘路-九环路）、牛田路（九和路-九源路）、规划支路六（九沙里路-JG1601-A33/S42-12地块）、黎明路（规划支路三-浜河路）、九田路</w:t>
            </w:r>
          </w:p>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开工：规划二路、华西路、永宁路、海普路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（六）</w:t>
            </w:r>
          </w:p>
        </w:tc>
        <w:tc>
          <w:tcPr>
            <w:tcW w:w="5917" w:type="dxa"/>
            <w:vAlign w:val="center"/>
          </w:tcPr>
          <w:p>
            <w:pPr>
              <w:jc w:val="left"/>
              <w:rPr>
                <w:rFonts w:ascii="仿宋" w:hAnsi="仿宋" w:eastAsia="仿宋" w:cs="Times New Roman"/>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城镇污水处理设施建设</w:t>
            </w:r>
          </w:p>
        </w:tc>
        <w:tc>
          <w:tcPr>
            <w:tcW w:w="1200"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完成污水管网建设共2.6公里</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二</w:t>
            </w:r>
          </w:p>
        </w:tc>
        <w:tc>
          <w:tcPr>
            <w:tcW w:w="5917" w:type="dxa"/>
            <w:vAlign w:val="center"/>
          </w:tcPr>
          <w:p>
            <w:pPr>
              <w:jc w:val="left"/>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雨水管网建设</w:t>
            </w:r>
          </w:p>
        </w:tc>
        <w:tc>
          <w:tcPr>
            <w:tcW w:w="1200"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完成雨水管网建设共5公里</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三</w:t>
            </w:r>
          </w:p>
        </w:tc>
        <w:tc>
          <w:tcPr>
            <w:tcW w:w="5917" w:type="dxa"/>
            <w:vAlign w:val="center"/>
          </w:tcPr>
          <w:p>
            <w:pPr>
              <w:jc w:val="left"/>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河道建设</w:t>
            </w:r>
          </w:p>
        </w:tc>
        <w:tc>
          <w:tcPr>
            <w:tcW w:w="1200"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 xml:space="preserve">八号港（牛田港）(九盛路-杭海路) </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七号港二期（三官塘路-白石港）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白石港（新塘路—艮山东路）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彭埠备塘河三期（白石港—三号港）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（三）</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完工项目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五号港（五圣塘港）（七号港-艮山东路）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四</w:t>
            </w:r>
          </w:p>
        </w:tc>
        <w:tc>
          <w:tcPr>
            <w:tcW w:w="5917" w:type="dxa"/>
            <w:vAlign w:val="center"/>
          </w:tcPr>
          <w:p>
            <w:pPr>
              <w:jc w:val="left"/>
              <w:rPr>
                <w:rFonts w:ascii="仿宋" w:hAnsi="仿宋" w:eastAsia="仿宋" w:cs="仿宋"/>
                <w:b/>
                <w:bCs/>
                <w:color w:val="000000" w:themeColor="text1"/>
                <w:spacing w:val="-10"/>
                <w:sz w:val="24"/>
                <w:szCs w:val="24"/>
                <w14:textFill>
                  <w14:solidFill>
                    <w14:schemeClr w14:val="tx1"/>
                  </w14:solidFill>
                </w14:textFill>
              </w:rPr>
            </w:pPr>
            <w:r>
              <w:rPr>
                <w:rFonts w:ascii="宋体" w:hAnsi="宋体"/>
                <w:b/>
                <w:bCs/>
                <w:sz w:val="24"/>
                <w:szCs w:val="22"/>
              </w:rPr>
              <w:t>海绵城市建设</w:t>
            </w:r>
          </w:p>
        </w:tc>
        <w:tc>
          <w:tcPr>
            <w:tcW w:w="1200"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lang w:val="en-US" w:eastAsia="zh-CN"/>
                <w14:textFill>
                  <w14:solidFill>
                    <w14:schemeClr w14:val="tx1"/>
                  </w14:solidFill>
                </w14:textFill>
              </w:rPr>
            </w:pPr>
            <w:r>
              <w:rPr>
                <w:rFonts w:hint="eastAsia" w:ascii="仿宋" w:hAnsi="仿宋" w:eastAsia="仿宋" w:cs="仿宋"/>
                <w:color w:val="000000" w:themeColor="text1"/>
                <w:spacing w:val="-10"/>
                <w:sz w:val="24"/>
                <w:szCs w:val="24"/>
                <w:lang w:val="en-US" w:eastAsia="zh-CN"/>
                <w14:textFill>
                  <w14:solidFill>
                    <w14:schemeClr w14:val="tx1"/>
                  </w14:solidFill>
                </w14:textFill>
              </w:rPr>
              <w:t>1</w:t>
            </w:r>
          </w:p>
        </w:tc>
        <w:tc>
          <w:tcPr>
            <w:tcW w:w="5917" w:type="dxa"/>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lang w:val="en-US" w:eastAsia="zh-CN"/>
              </w:rPr>
              <w:t>当年4.64平方公里（建成区面积5%），累计34.36平方公里区域（建成区面积37%）达到海绵城市建设要求，重点打造具有较高海绵显示度的系统化重点建设区域；至少建成一个达标排水分区，区域内项目类型不少于三种（住宅、公共建筑、市政道路、城市水系、城市广场公园绿地等），并至少包括住宅、公共建筑、市政道路三种类型中的两种。</w:t>
            </w:r>
          </w:p>
        </w:tc>
        <w:tc>
          <w:tcPr>
            <w:tcW w:w="1200" w:type="dxa"/>
            <w:vAlign w:val="center"/>
          </w:tcPr>
          <w:p>
            <w:pPr>
              <w:spacing w:line="240" w:lineRule="atLeast"/>
              <w:jc w:val="center"/>
              <w:rPr>
                <w:rFonts w:hint="default" w:ascii="仿宋" w:hAnsi="仿宋" w:eastAsia="仿宋" w:cs="仿宋"/>
                <w:spacing w:val="-20"/>
                <w:position w:val="6"/>
                <w:sz w:val="24"/>
                <w:szCs w:val="24"/>
                <w:lang w:val="en-US" w:eastAsia="zh-CN"/>
              </w:rPr>
            </w:pPr>
            <w:r>
              <w:rPr>
                <w:rFonts w:hint="eastAsia" w:ascii="仿宋" w:hAnsi="仿宋" w:eastAsia="仿宋" w:cs="仿宋"/>
                <w:spacing w:val="-20"/>
                <w:position w:val="6"/>
                <w:sz w:val="24"/>
                <w:szCs w:val="24"/>
                <w:lang w:val="en-US" w:eastAsia="zh-CN"/>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lang w:val="en-US" w:eastAsia="zh-CN"/>
                <w14:textFill>
                  <w14:solidFill>
                    <w14:schemeClr w14:val="tx1"/>
                  </w14:solidFill>
                </w14:textFill>
              </w:rPr>
            </w:pPr>
            <w:r>
              <w:rPr>
                <w:rFonts w:hint="eastAsia" w:ascii="仿宋" w:hAnsi="仿宋" w:eastAsia="仿宋" w:cs="仿宋"/>
                <w:color w:val="000000" w:themeColor="text1"/>
                <w:spacing w:val="-10"/>
                <w:sz w:val="24"/>
                <w:szCs w:val="24"/>
                <w:lang w:val="en-US" w:eastAsia="zh-CN"/>
                <w14:textFill>
                  <w14:solidFill>
                    <w14:schemeClr w14:val="tx1"/>
                  </w14:solidFill>
                </w14:textFill>
              </w:rPr>
              <w:t>2</w:t>
            </w:r>
          </w:p>
        </w:tc>
        <w:tc>
          <w:tcPr>
            <w:tcW w:w="5917" w:type="dxa"/>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lang w:val="en-US" w:eastAsia="zh-CN"/>
              </w:rPr>
              <w:t>在全区范围内创建迎亚运道路整治（9号线地铁恢复）-钱江路道路工程、迎亚运道路整治（地铁恢复）-解放东路（之江路-杭海路）工程、笕桥生态公园单元JG0701-R21-01地块黎明社区拆迁安置房项目等15个以上海绵示范项目，重点关注央补项目的海绵设计方案及工程实施；至少打造1个海绵设施与中央隔离带、机非隔离带或道侧绿化相结合的示范性道路项目。</w:t>
            </w:r>
          </w:p>
        </w:tc>
        <w:tc>
          <w:tcPr>
            <w:tcW w:w="1200" w:type="dxa"/>
            <w:vAlign w:val="center"/>
          </w:tcPr>
          <w:p>
            <w:pPr>
              <w:spacing w:line="240" w:lineRule="atLeast"/>
              <w:jc w:val="center"/>
              <w:rPr>
                <w:rFonts w:ascii="仿宋" w:hAnsi="仿宋" w:eastAsia="仿宋" w:cs="仿宋"/>
                <w:spacing w:val="-20"/>
                <w:position w:val="6"/>
                <w:sz w:val="24"/>
                <w:szCs w:val="24"/>
              </w:rPr>
            </w:pPr>
            <w:r>
              <w:rPr>
                <w:rFonts w:hint="eastAsia" w:ascii="仿宋" w:hAnsi="仿宋" w:eastAsia="仿宋" w:cs="仿宋"/>
                <w:spacing w:val="-20"/>
                <w:position w:val="6"/>
                <w:sz w:val="24"/>
                <w:szCs w:val="24"/>
                <w:lang w:val="en-US" w:eastAsia="zh-CN"/>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lang w:val="en-US" w:eastAsia="zh-CN"/>
                <w14:textFill>
                  <w14:solidFill>
                    <w14:schemeClr w14:val="tx1"/>
                  </w14:solidFill>
                </w14:textFill>
              </w:rPr>
            </w:pPr>
            <w:r>
              <w:rPr>
                <w:rFonts w:hint="eastAsia" w:ascii="仿宋" w:hAnsi="仿宋" w:eastAsia="仿宋" w:cs="仿宋"/>
                <w:color w:val="000000" w:themeColor="text1"/>
                <w:spacing w:val="-10"/>
                <w:sz w:val="24"/>
                <w:szCs w:val="24"/>
                <w:lang w:val="en-US" w:eastAsia="zh-CN"/>
                <w14:textFill>
                  <w14:solidFill>
                    <w14:schemeClr w14:val="tx1"/>
                  </w14:solidFill>
                </w14:textFill>
              </w:rPr>
              <w:t>3</w:t>
            </w:r>
          </w:p>
        </w:tc>
        <w:tc>
          <w:tcPr>
            <w:tcW w:w="5917" w:type="dxa"/>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lang w:val="en-US" w:eastAsia="zh-CN"/>
              </w:rPr>
              <w:t>完成杭州市系统化全域推进海绵城市建设项目清单（2021-2023年）中涉及的2022年项目。</w:t>
            </w:r>
          </w:p>
        </w:tc>
        <w:tc>
          <w:tcPr>
            <w:tcW w:w="1200" w:type="dxa"/>
            <w:vAlign w:val="center"/>
          </w:tcPr>
          <w:p>
            <w:pPr>
              <w:spacing w:line="240" w:lineRule="atLeast"/>
              <w:jc w:val="center"/>
              <w:rPr>
                <w:rFonts w:ascii="仿宋" w:hAnsi="仿宋" w:eastAsia="仿宋" w:cs="仿宋"/>
                <w:spacing w:val="-20"/>
                <w:position w:val="6"/>
                <w:sz w:val="24"/>
                <w:szCs w:val="24"/>
              </w:rPr>
            </w:pPr>
            <w:r>
              <w:rPr>
                <w:rFonts w:hint="eastAsia" w:ascii="仿宋" w:hAnsi="仿宋" w:eastAsia="仿宋" w:cs="仿宋"/>
                <w:spacing w:val="-20"/>
                <w:position w:val="6"/>
                <w:sz w:val="24"/>
                <w:szCs w:val="24"/>
                <w:lang w:val="en-US" w:eastAsia="zh-CN"/>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五</w:t>
            </w:r>
          </w:p>
        </w:tc>
        <w:tc>
          <w:tcPr>
            <w:tcW w:w="5917" w:type="dxa"/>
            <w:vAlign w:val="center"/>
          </w:tcPr>
          <w:p>
            <w:pPr>
              <w:jc w:val="left"/>
              <w:rPr>
                <w:rFonts w:ascii="宋体" w:hAnsi="宋体"/>
                <w:b/>
                <w:bCs/>
                <w:sz w:val="24"/>
                <w:szCs w:val="22"/>
              </w:rPr>
            </w:pPr>
            <w:r>
              <w:rPr>
                <w:rFonts w:ascii="宋体" w:hAnsi="宋体"/>
                <w:b/>
                <w:bCs/>
                <w:sz w:val="24"/>
                <w:szCs w:val="22"/>
              </w:rPr>
              <w:t>地下空间</w:t>
            </w:r>
            <w:r>
              <w:rPr>
                <w:rFonts w:hint="eastAsia" w:ascii="宋体" w:hAnsi="宋体"/>
                <w:b/>
                <w:bCs/>
                <w:sz w:val="24"/>
                <w:szCs w:val="22"/>
              </w:rPr>
              <w:t>开发利用</w:t>
            </w:r>
          </w:p>
        </w:tc>
        <w:tc>
          <w:tcPr>
            <w:tcW w:w="1200" w:type="dxa"/>
            <w:vAlign w:val="center"/>
          </w:tcPr>
          <w:p>
            <w:pPr>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地下空间建设新增量（完工）60万平方米。</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（延安路及近湖地区——吴山广场片区）吴山地区地下空间：一期、二期方案统筹研究。</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（望江新城核心区）海潮站TOD综合开发示范项目：市规资局完成城市设计后启动控规调整。</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（望江新城核心区）始板桥未来社区与轨道婺江路站互联互通：完成施工图方案。</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（三）</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艮北新城核心区东西地块地下连廊工程：开工。</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（四）</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（钱江新城）钱江新城单元JG1309-R/A/S-17地块常青拆迁安置房及西侧JG1309-G2/S2-20防护绿地项目：完成地下室结构。</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（望江新城核心区）香港新世界K11购物中心：一期完成地上50%；二期完成地下室结构25%。</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（望江新城核心区）始板桥未来社区6、7、8号地块娃哈哈项目：完成地下室结构。</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（望江新城核心区）始板桥未来社区1-3号地块：1-2号地块完成地下室结构30%；3号地块完成地下室结构50%。</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（数字商贸城）丰收湖综合体（数字商贸城单元JG1801-01、02、03、05地块地下空间联建）：完成桩基50%。</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新鸿基-平安江河汇综合体(含杭州江河汇汇东区块和西区块)：土方开挖，地下室施工。</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六</w:t>
            </w:r>
          </w:p>
        </w:tc>
        <w:tc>
          <w:tcPr>
            <w:tcW w:w="5917" w:type="dxa"/>
            <w:vAlign w:val="center"/>
          </w:tcPr>
          <w:p>
            <w:pPr>
              <w:jc w:val="left"/>
              <w:rPr>
                <w:rFonts w:ascii="宋体" w:hAnsi="宋体"/>
                <w:b/>
                <w:bCs/>
                <w:sz w:val="24"/>
                <w:szCs w:val="22"/>
              </w:rPr>
            </w:pPr>
            <w:r>
              <w:rPr>
                <w:rFonts w:ascii="宋体" w:hAnsi="宋体"/>
                <w:b/>
                <w:bCs/>
                <w:sz w:val="24"/>
                <w:szCs w:val="22"/>
              </w:rPr>
              <w:t>地下综合管廊建设</w:t>
            </w:r>
          </w:p>
        </w:tc>
        <w:tc>
          <w:tcPr>
            <w:tcW w:w="1200" w:type="dxa"/>
            <w:vAlign w:val="center"/>
          </w:tcPr>
          <w:p>
            <w:pPr>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auto"/>
                <w:spacing w:val="-10"/>
                <w:kern w:val="2"/>
                <w:sz w:val="24"/>
                <w:szCs w:val="24"/>
                <w:lang w:val="en-US" w:eastAsia="zh-CN" w:bidi="ar-SA"/>
              </w:rPr>
            </w:pPr>
            <w:r>
              <w:rPr>
                <w:rFonts w:hint="eastAsia" w:ascii="仿宋" w:hAnsi="仿宋" w:eastAsia="仿宋" w:cs="仿宋"/>
                <w:color w:val="auto"/>
                <w:spacing w:val="-10"/>
                <w:sz w:val="24"/>
                <w:szCs w:val="24"/>
                <w:lang w:eastAsia="zh-CN"/>
              </w:rPr>
              <w:t>（一）</w:t>
            </w:r>
          </w:p>
        </w:tc>
        <w:tc>
          <w:tcPr>
            <w:tcW w:w="5917" w:type="dxa"/>
            <w:vAlign w:val="center"/>
          </w:tcPr>
          <w:p>
            <w:pPr>
              <w:jc w:val="left"/>
              <w:rPr>
                <w:rFonts w:hint="eastAsia" w:ascii="仿宋" w:hAnsi="仿宋" w:eastAsia="仿宋" w:cs="仿宋"/>
                <w:color w:val="auto"/>
                <w:kern w:val="2"/>
                <w:sz w:val="24"/>
                <w:szCs w:val="22"/>
                <w:lang w:val="en-US" w:eastAsia="zh-CN" w:bidi="ar-SA"/>
              </w:rPr>
            </w:pPr>
            <w:r>
              <w:rPr>
                <w:rFonts w:hint="eastAsia" w:ascii="仿宋" w:hAnsi="仿宋" w:eastAsia="仿宋" w:cs="仿宋"/>
                <w:color w:val="auto"/>
                <w:sz w:val="24"/>
                <w:szCs w:val="22"/>
                <w:lang w:eastAsia="zh-CN"/>
              </w:rPr>
              <w:t>前期项目</w:t>
            </w:r>
          </w:p>
        </w:tc>
        <w:tc>
          <w:tcPr>
            <w:tcW w:w="1200" w:type="dxa"/>
            <w:vAlign w:val="center"/>
          </w:tcPr>
          <w:p>
            <w:pPr>
              <w:jc w:val="center"/>
              <w:rPr>
                <w:rFonts w:hint="eastAsia" w:ascii="仿宋" w:hAnsi="仿宋" w:eastAsia="仿宋" w:cs="仿宋"/>
                <w:color w:val="auto"/>
                <w:kern w:val="2"/>
                <w:sz w:val="24"/>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b w:val="0"/>
                <w:bCs w:val="0"/>
                <w:color w:val="auto"/>
                <w:spacing w:val="-10"/>
                <w:kern w:val="2"/>
                <w:sz w:val="24"/>
                <w:szCs w:val="24"/>
                <w:lang w:val="en-US" w:eastAsia="zh-CN" w:bidi="ar-SA"/>
              </w:rPr>
            </w:pPr>
            <w:r>
              <w:rPr>
                <w:rFonts w:hint="eastAsia" w:ascii="仿宋" w:hAnsi="仿宋" w:eastAsia="仿宋" w:cs="仿宋"/>
                <w:b w:val="0"/>
                <w:bCs w:val="0"/>
                <w:color w:val="auto"/>
                <w:spacing w:val="-10"/>
                <w:sz w:val="24"/>
                <w:szCs w:val="24"/>
                <w:lang w:val="en-US" w:eastAsia="zh-CN"/>
              </w:rPr>
              <w:t>1</w:t>
            </w:r>
          </w:p>
        </w:tc>
        <w:tc>
          <w:tcPr>
            <w:tcW w:w="5917" w:type="dxa"/>
            <w:vAlign w:val="center"/>
          </w:tcPr>
          <w:p>
            <w:pPr>
              <w:jc w:val="left"/>
              <w:rPr>
                <w:rFonts w:hint="eastAsia" w:ascii="仿宋" w:hAnsi="仿宋" w:eastAsia="仿宋" w:cs="仿宋"/>
                <w:b w:val="0"/>
                <w:bCs w:val="0"/>
                <w:color w:val="auto"/>
                <w:kern w:val="2"/>
                <w:sz w:val="24"/>
                <w:szCs w:val="22"/>
                <w:lang w:val="en-US" w:eastAsia="zh-CN" w:bidi="ar-SA"/>
              </w:rPr>
            </w:pPr>
            <w:r>
              <w:rPr>
                <w:rFonts w:hint="eastAsia" w:ascii="仿宋" w:hAnsi="仿宋" w:eastAsia="仿宋" w:cs="仿宋"/>
                <w:b w:val="0"/>
                <w:bCs w:val="0"/>
                <w:color w:val="auto"/>
                <w:sz w:val="24"/>
                <w:szCs w:val="22"/>
                <w:lang w:eastAsia="zh-CN"/>
              </w:rPr>
              <w:t>城东主城区核心区综合管廊建设前期研究</w:t>
            </w:r>
          </w:p>
        </w:tc>
        <w:tc>
          <w:tcPr>
            <w:tcW w:w="1200" w:type="dxa"/>
            <w:vAlign w:val="center"/>
          </w:tcPr>
          <w:p>
            <w:pPr>
              <w:jc w:val="center"/>
              <w:rPr>
                <w:rFonts w:hint="eastAsia" w:ascii="仿宋" w:hAnsi="仿宋" w:eastAsia="仿宋" w:cs="仿宋"/>
                <w:color w:val="auto"/>
                <w:kern w:val="2"/>
                <w:sz w:val="24"/>
                <w:szCs w:val="22"/>
                <w:lang w:val="en-US" w:eastAsia="zh-CN" w:bidi="ar-SA"/>
              </w:rPr>
            </w:pPr>
            <w:r>
              <w:rPr>
                <w:rFonts w:hint="eastAsia" w:ascii="仿宋" w:hAnsi="仿宋" w:eastAsia="仿宋" w:cs="仿宋"/>
                <w:color w:val="auto"/>
                <w:sz w:val="24"/>
                <w:szCs w:val="22"/>
                <w:lang w:val="en-US" w:eastAsia="zh-CN"/>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七</w:t>
            </w:r>
          </w:p>
        </w:tc>
        <w:tc>
          <w:tcPr>
            <w:tcW w:w="5917" w:type="dxa"/>
            <w:vAlign w:val="center"/>
          </w:tcPr>
          <w:p>
            <w:pPr>
              <w:jc w:val="left"/>
              <w:rPr>
                <w:rFonts w:ascii="宋体" w:hAnsi="宋体"/>
                <w:b/>
                <w:bCs/>
                <w:sz w:val="24"/>
                <w:szCs w:val="22"/>
              </w:rPr>
            </w:pPr>
            <w:r>
              <w:rPr>
                <w:rFonts w:ascii="宋体" w:hAnsi="宋体"/>
                <w:b/>
                <w:bCs/>
                <w:sz w:val="24"/>
                <w:szCs w:val="22"/>
              </w:rPr>
              <w:t>输变电工程建设</w:t>
            </w:r>
          </w:p>
        </w:tc>
        <w:tc>
          <w:tcPr>
            <w:tcW w:w="1200" w:type="dxa"/>
            <w:vAlign w:val="center"/>
          </w:tcPr>
          <w:p>
            <w:pPr>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积极研究吴山220千伏输变电工程“入公建”方案。</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积极推进采荷220千伏输变电工程站址相关征迁工作。</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完成220千伏海潮变土地交易；</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完成凤起东路（二号港-钱潮路）电力隧道工程选址论证。</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八</w:t>
            </w:r>
          </w:p>
        </w:tc>
        <w:tc>
          <w:tcPr>
            <w:tcW w:w="5917" w:type="dxa"/>
            <w:vAlign w:val="center"/>
          </w:tcPr>
          <w:p>
            <w:pPr>
              <w:jc w:val="left"/>
              <w:rPr>
                <w:rFonts w:ascii="宋体" w:hAnsi="宋体"/>
                <w:b/>
                <w:bCs/>
                <w:sz w:val="24"/>
                <w:szCs w:val="22"/>
              </w:rPr>
            </w:pPr>
            <w:r>
              <w:rPr>
                <w:rFonts w:hint="eastAsia" w:ascii="宋体" w:hAnsi="宋体" w:cs="Times New Roman"/>
                <w:b/>
                <w:bCs/>
                <w:sz w:val="24"/>
                <w:szCs w:val="22"/>
              </w:rPr>
              <w:t>供水管网设施建设</w:t>
            </w:r>
          </w:p>
        </w:tc>
        <w:tc>
          <w:tcPr>
            <w:tcW w:w="1200" w:type="dxa"/>
            <w:vAlign w:val="center"/>
          </w:tcPr>
          <w:p>
            <w:pPr>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p>
        </w:tc>
        <w:tc>
          <w:tcPr>
            <w:tcW w:w="5917" w:type="dxa"/>
            <w:vAlign w:val="center"/>
          </w:tcPr>
          <w:p>
            <w:pPr>
              <w:jc w:val="left"/>
              <w:rPr>
                <w:rFonts w:ascii="仿宋" w:hAnsi="仿宋" w:eastAsia="仿宋"/>
                <w:sz w:val="24"/>
                <w:szCs w:val="24"/>
              </w:rPr>
            </w:pPr>
            <w:r>
              <w:rPr>
                <w:rFonts w:hint="eastAsia" w:ascii="仿宋" w:hAnsi="仿宋" w:eastAsia="仿宋"/>
                <w:sz w:val="24"/>
                <w:szCs w:val="24"/>
              </w:rPr>
              <w:t>无</w:t>
            </w:r>
          </w:p>
        </w:tc>
        <w:tc>
          <w:tcPr>
            <w:tcW w:w="1200" w:type="dxa"/>
            <w:vAlign w:val="center"/>
          </w:tcPr>
          <w:p>
            <w:pPr>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九</w:t>
            </w:r>
          </w:p>
        </w:tc>
        <w:tc>
          <w:tcPr>
            <w:tcW w:w="5917" w:type="dxa"/>
            <w:vAlign w:val="center"/>
          </w:tcPr>
          <w:p>
            <w:pPr>
              <w:jc w:val="left"/>
              <w:rPr>
                <w:rFonts w:ascii="宋体" w:hAnsi="宋体"/>
                <w:b/>
                <w:bCs/>
                <w:sz w:val="24"/>
                <w:szCs w:val="22"/>
              </w:rPr>
            </w:pPr>
            <w:r>
              <w:rPr>
                <w:rFonts w:hint="eastAsia" w:ascii="宋体" w:hAnsi="宋体" w:cs="Times New Roman"/>
                <w:b/>
                <w:bCs/>
                <w:sz w:val="24"/>
                <w:szCs w:val="22"/>
              </w:rPr>
              <w:t>停车场库及新能源汽车充电设施建设</w:t>
            </w:r>
          </w:p>
        </w:tc>
        <w:tc>
          <w:tcPr>
            <w:tcW w:w="1200" w:type="dxa"/>
            <w:vAlign w:val="center"/>
          </w:tcPr>
          <w:p>
            <w:pPr>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按照省民生实事工作标准和考核节点要求，完成新增停车泊位3050个，省民生标准公共泊位350个。年度累计新增停车泊位9500个，其中公共泊位（非临时）1700个。6月底前完成年度各类停车位竣工量原则不低于25%,11月底前完成省民生实事计划建设项目，其他项目完工原则不低于90%。新开工及续建公共停车泊位不少于5500个。</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科学制订2022年度停车场（库）资金专项计划，及时做好竣工项目的工程结算和财务决算，年度资金计划执行率达到99%（含）以上。</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做好2023年公共停车场民生项目储备，年底前完成采荷一小钱江苑校区地下公共停车库、景芳园公园地下智能式公共停车库和杭政储出[2012]62号地块公共停车库竣工准备，东河环保公园地下智能式公共停车库完成土建施工。</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完成新能源汽车公用充电桩不少于280个。</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十</w:t>
            </w:r>
          </w:p>
        </w:tc>
        <w:tc>
          <w:tcPr>
            <w:tcW w:w="5917" w:type="dxa"/>
            <w:vAlign w:val="center"/>
          </w:tcPr>
          <w:p>
            <w:pPr>
              <w:jc w:val="left"/>
              <w:rPr>
                <w:rFonts w:ascii="宋体" w:hAnsi="宋体"/>
                <w:b/>
                <w:bCs/>
                <w:sz w:val="24"/>
                <w:szCs w:val="22"/>
              </w:rPr>
            </w:pPr>
            <w:r>
              <w:rPr>
                <w:rFonts w:ascii="宋体" w:hAnsi="宋体"/>
                <w:b/>
                <w:bCs/>
                <w:sz w:val="24"/>
                <w:szCs w:val="22"/>
              </w:rPr>
              <w:t>绿色建筑及建筑节能</w:t>
            </w:r>
          </w:p>
        </w:tc>
        <w:tc>
          <w:tcPr>
            <w:tcW w:w="1200" w:type="dxa"/>
            <w:vAlign w:val="center"/>
          </w:tcPr>
          <w:p>
            <w:pPr>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完成公共建筑节能改造4万平方米，居住建筑节能绿色化改造2万平方米；完成可再生能源建筑应用面积70万平方米；实施（含完成）建筑太阳能光伏装机容量22.5兆瓦</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辖区单位争创省级绿色施工示范项目不少于2个；完成高星级绿色建筑示范项目立项不少于1个；完成超低能耗建筑示范立项不少于2万平方米；完成高替代率可再生能源建筑应用示范立项不少于7.5万平方米；完成既有公共建筑能效提升示范立项不少于19万平方米。开展绿色生态城区前期储备</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十一</w:t>
            </w:r>
          </w:p>
        </w:tc>
        <w:tc>
          <w:tcPr>
            <w:tcW w:w="5917" w:type="dxa"/>
            <w:vAlign w:val="center"/>
          </w:tcPr>
          <w:p>
            <w:pPr>
              <w:jc w:val="left"/>
              <w:rPr>
                <w:rFonts w:ascii="宋体" w:hAnsi="宋体"/>
                <w:b/>
                <w:bCs/>
                <w:sz w:val="24"/>
                <w:szCs w:val="22"/>
              </w:rPr>
            </w:pPr>
            <w:r>
              <w:rPr>
                <w:rFonts w:ascii="宋体" w:hAnsi="宋体"/>
                <w:b/>
                <w:bCs/>
                <w:sz w:val="24"/>
                <w:szCs w:val="22"/>
              </w:rPr>
              <w:t>装配式建筑（建筑工业化）</w:t>
            </w:r>
          </w:p>
        </w:tc>
        <w:tc>
          <w:tcPr>
            <w:tcW w:w="1200" w:type="dxa"/>
            <w:vAlign w:val="center"/>
          </w:tcPr>
          <w:p>
            <w:pPr>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全年新开工装配式建筑面积达到310万平方米以上。</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新开工装配式建筑占新建建筑比例达到100%。</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全年新开工装配式住宅面积达到130万平方米以上。</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全年新开工钢结构装配式住宅(含农房)达到2万平方米以上。</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十二</w:t>
            </w:r>
          </w:p>
        </w:tc>
        <w:tc>
          <w:tcPr>
            <w:tcW w:w="5917" w:type="dxa"/>
            <w:vAlign w:val="center"/>
          </w:tcPr>
          <w:p>
            <w:pPr>
              <w:jc w:val="left"/>
              <w:rPr>
                <w:rFonts w:ascii="宋体" w:hAnsi="宋体"/>
                <w:b/>
                <w:bCs/>
                <w:sz w:val="24"/>
                <w:szCs w:val="22"/>
              </w:rPr>
            </w:pPr>
            <w:r>
              <w:rPr>
                <w:rFonts w:hint="eastAsia" w:ascii="宋体" w:hAnsi="宋体" w:cs="Times New Roman"/>
                <w:b/>
                <w:bCs/>
                <w:sz w:val="24"/>
                <w:szCs w:val="22"/>
              </w:rPr>
              <w:t>千岛湖供水及配套工程</w:t>
            </w:r>
          </w:p>
        </w:tc>
        <w:tc>
          <w:tcPr>
            <w:tcW w:w="1200" w:type="dxa"/>
            <w:vAlign w:val="center"/>
          </w:tcPr>
          <w:p>
            <w:pPr>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无</w:t>
            </w:r>
          </w:p>
        </w:tc>
        <w:tc>
          <w:tcPr>
            <w:tcW w:w="1200" w:type="dxa"/>
            <w:vAlign w:val="center"/>
          </w:tcPr>
          <w:p>
            <w:pPr>
              <w:adjustRightInd w:val="0"/>
              <w:snapToGrid w:val="0"/>
              <w:jc w:val="center"/>
              <w:rPr>
                <w:rFonts w:ascii="仿宋" w:hAnsi="仿宋" w:eastAsia="仿宋" w:cs="仿宋"/>
                <w:spacing w:val="-10"/>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ZjRhN2VkNGUyNzllODlhYjIyMjdhODY4YTJhMmUifQ=="/>
  </w:docVars>
  <w:rsids>
    <w:rsidRoot w:val="000E0FF3"/>
    <w:rsid w:val="000E0FF3"/>
    <w:rsid w:val="001B7D3D"/>
    <w:rsid w:val="003206F9"/>
    <w:rsid w:val="00505293"/>
    <w:rsid w:val="006000DF"/>
    <w:rsid w:val="007246E7"/>
    <w:rsid w:val="007571CF"/>
    <w:rsid w:val="007F451A"/>
    <w:rsid w:val="00870B93"/>
    <w:rsid w:val="0093755E"/>
    <w:rsid w:val="009D1FA6"/>
    <w:rsid w:val="009F4466"/>
    <w:rsid w:val="00B9666B"/>
    <w:rsid w:val="00D75824"/>
    <w:rsid w:val="00DE243F"/>
    <w:rsid w:val="01AE1814"/>
    <w:rsid w:val="03127E9A"/>
    <w:rsid w:val="032145F2"/>
    <w:rsid w:val="03757F0D"/>
    <w:rsid w:val="05547ACF"/>
    <w:rsid w:val="062B3C84"/>
    <w:rsid w:val="06813716"/>
    <w:rsid w:val="097E121E"/>
    <w:rsid w:val="0CDF4DE6"/>
    <w:rsid w:val="0D6737E7"/>
    <w:rsid w:val="0E176AC2"/>
    <w:rsid w:val="11227F37"/>
    <w:rsid w:val="13345B87"/>
    <w:rsid w:val="14A3488B"/>
    <w:rsid w:val="16F824D5"/>
    <w:rsid w:val="1BCE5E49"/>
    <w:rsid w:val="225B5EA7"/>
    <w:rsid w:val="25F73F41"/>
    <w:rsid w:val="262F3C16"/>
    <w:rsid w:val="27CF40BE"/>
    <w:rsid w:val="2A2C058F"/>
    <w:rsid w:val="327B3804"/>
    <w:rsid w:val="3378149F"/>
    <w:rsid w:val="35E5FD1A"/>
    <w:rsid w:val="36953021"/>
    <w:rsid w:val="39191370"/>
    <w:rsid w:val="3D3227BB"/>
    <w:rsid w:val="3E7E6D84"/>
    <w:rsid w:val="3F4B2FD1"/>
    <w:rsid w:val="42936208"/>
    <w:rsid w:val="45C87588"/>
    <w:rsid w:val="471500D5"/>
    <w:rsid w:val="49EF5994"/>
    <w:rsid w:val="49FF241B"/>
    <w:rsid w:val="4CD820BE"/>
    <w:rsid w:val="4F905957"/>
    <w:rsid w:val="4FC73B4F"/>
    <w:rsid w:val="4FFEA5AE"/>
    <w:rsid w:val="51F57E9E"/>
    <w:rsid w:val="53173115"/>
    <w:rsid w:val="53C2522A"/>
    <w:rsid w:val="5C447D06"/>
    <w:rsid w:val="5D921874"/>
    <w:rsid w:val="5E1D4453"/>
    <w:rsid w:val="5EFF5842"/>
    <w:rsid w:val="5FB7F1F3"/>
    <w:rsid w:val="5FC96B26"/>
    <w:rsid w:val="60E8644C"/>
    <w:rsid w:val="64067B25"/>
    <w:rsid w:val="6676706A"/>
    <w:rsid w:val="66777D5C"/>
    <w:rsid w:val="67170BA1"/>
    <w:rsid w:val="6A026C9B"/>
    <w:rsid w:val="6BE26F96"/>
    <w:rsid w:val="6DF36074"/>
    <w:rsid w:val="6E0F7D30"/>
    <w:rsid w:val="6E892EBD"/>
    <w:rsid w:val="6F822BA7"/>
    <w:rsid w:val="6FFC5B6E"/>
    <w:rsid w:val="70C63401"/>
    <w:rsid w:val="72632ABD"/>
    <w:rsid w:val="72697230"/>
    <w:rsid w:val="75F98A2C"/>
    <w:rsid w:val="761445B6"/>
    <w:rsid w:val="7757E3C3"/>
    <w:rsid w:val="780B5DCE"/>
    <w:rsid w:val="7FAB8D1D"/>
    <w:rsid w:val="9D5B62F9"/>
    <w:rsid w:val="9E3DD893"/>
    <w:rsid w:val="A3F72C8B"/>
    <w:rsid w:val="A8F92A77"/>
    <w:rsid w:val="AD773FDF"/>
    <w:rsid w:val="B6FD921D"/>
    <w:rsid w:val="BECF9E6F"/>
    <w:rsid w:val="BFF88CB9"/>
    <w:rsid w:val="DD35FA01"/>
    <w:rsid w:val="EB6FFA85"/>
    <w:rsid w:val="FB7E1ECB"/>
    <w:rsid w:val="FBAF7BE3"/>
    <w:rsid w:val="FBFFCBE0"/>
    <w:rsid w:val="FC6F5620"/>
    <w:rsid w:val="FF9FA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Times New Roman"/>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0"/>
    <w:rPr>
      <w:rFonts w:ascii="Calibri" w:hAnsi="Calibri" w:eastAsia="宋体" w:cs="Calibri"/>
      <w:kern w:val="2"/>
      <w:sz w:val="18"/>
      <w:szCs w:val="18"/>
    </w:rPr>
  </w:style>
  <w:style w:type="character" w:customStyle="1" w:styleId="9">
    <w:name w:val="页脚 字符"/>
    <w:basedOn w:val="7"/>
    <w:link w:val="2"/>
    <w:qFormat/>
    <w:uiPriority w:val="0"/>
    <w:rPr>
      <w:rFonts w:ascii="Calibri" w:hAnsi="Calibri" w:eastAsia="宋体"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689</Words>
  <Characters>3928</Characters>
  <Lines>32</Lines>
  <Paragraphs>9</Paragraphs>
  <TotalTime>31</TotalTime>
  <ScaleCrop>false</ScaleCrop>
  <LinksUpToDate>false</LinksUpToDate>
  <CharactersWithSpaces>4608</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2021-01-23T17:55:00Z</dcterms:created>
  <dc:creator>Administrator</dc:creator>
  <cp:lastModifiedBy>user</cp:lastModifiedBy>
  <cp:lastPrinted>2022-02-20T10:22:00Z</cp:lastPrinted>
  <dcterms:modified xsi:type="dcterms:W3CDTF">2022-07-22T16:29:31Z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D995F6A723194F28B86386DB10E5B07B</vt:lpwstr>
  </property>
</Properties>
</file>