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2年富阳区重大基础设施建设任务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lang w:val="en-US" w:eastAsia="zh-CN"/>
              </w:rPr>
              <w:t>20</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w:t>
            </w:r>
            <w:r>
              <w:rPr>
                <w:rFonts w:hint="eastAsia" w:ascii="仿宋" w:hAnsi="仿宋" w:eastAsia="仿宋" w:cs="仿宋"/>
                <w:color w:val="000000" w:themeColor="text1"/>
                <w:spacing w:val="-10"/>
                <w:sz w:val="24"/>
                <w:szCs w:val="24"/>
              </w:rPr>
              <w:t>前</w:t>
            </w:r>
            <w:r>
              <w:rPr>
                <w:rFonts w:hint="eastAsia" w:ascii="仿宋" w:hAnsi="仿宋" w:eastAsia="仿宋" w:cs="仿宋"/>
                <w:color w:val="000000" w:themeColor="text1"/>
                <w:spacing w:val="-10"/>
                <w:sz w:val="24"/>
                <w:szCs w:val="24"/>
                <w:lang w:val="en-US" w:eastAsia="zh-CN"/>
              </w:rPr>
              <w:t>建成的市政道路（含排水、桥梁、隧道）项目</w:t>
            </w:r>
            <w:r>
              <w:rPr>
                <w:rFonts w:hint="eastAsia" w:ascii="仿宋" w:hAnsi="仿宋" w:eastAsia="仿宋" w:cs="仿宋"/>
                <w:color w:val="000000" w:themeColor="text1"/>
                <w:spacing w:val="-10"/>
                <w:sz w:val="24"/>
                <w:szCs w:val="24"/>
                <w:lang w:eastAsia="zh-CN"/>
              </w:rPr>
              <w:t>完成</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w:t>
            </w: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rPr>
              <w:t>2</w:t>
            </w:r>
            <w:r>
              <w:rPr>
                <w:rFonts w:hint="eastAsia" w:ascii="仿宋" w:hAnsi="仿宋" w:eastAsia="仿宋" w:cs="仿宋"/>
                <w:color w:val="000000" w:themeColor="text1"/>
                <w:spacing w:val="-10"/>
                <w:sz w:val="24"/>
                <w:szCs w:val="24"/>
                <w:lang w:val="en-US" w:eastAsia="zh-CN"/>
              </w:rPr>
              <w:t>1</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底前建成的</w:t>
            </w:r>
            <w:r>
              <w:rPr>
                <w:rFonts w:hint="eastAsia" w:ascii="仿宋" w:hAnsi="仿宋" w:eastAsia="仿宋" w:cs="仿宋"/>
                <w:color w:val="000000" w:themeColor="text1"/>
                <w:spacing w:val="-10"/>
                <w:sz w:val="24"/>
                <w:szCs w:val="24"/>
              </w:rPr>
              <w:t>项目完成</w:t>
            </w:r>
            <w:r>
              <w:rPr>
                <w:rFonts w:hint="eastAsia" w:ascii="仿宋" w:hAnsi="仿宋" w:eastAsia="仿宋" w:cs="仿宋"/>
                <w:color w:val="000000" w:themeColor="text1"/>
                <w:spacing w:val="-10"/>
                <w:sz w:val="24"/>
                <w:szCs w:val="24"/>
                <w:lang w:val="en-US" w:eastAsia="zh-CN"/>
              </w:rPr>
              <w:t>子项总量</w:t>
            </w:r>
            <w:r>
              <w:rPr>
                <w:rFonts w:ascii="仿宋" w:hAnsi="仿宋" w:eastAsia="仿宋" w:cs="仿宋"/>
                <w:color w:val="000000" w:themeColor="text1"/>
                <w:spacing w:val="-10"/>
                <w:sz w:val="24"/>
                <w:szCs w:val="24"/>
              </w:rPr>
              <w:t>80%</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rPr>
      </w:pPr>
    </w:p>
    <w:p>
      <w:pPr>
        <w:jc w:val="center"/>
        <w:rPr>
          <w:rFonts w:ascii="黑体" w:hAnsi="黑体" w:eastAsia="黑体" w:cs="Times New Roman"/>
          <w:color w:val="000000" w:themeColor="text1"/>
          <w:sz w:val="44"/>
          <w:szCs w:val="44"/>
        </w:rPr>
      </w:pPr>
      <w:r>
        <w:rPr>
          <w:rFonts w:ascii="黑体" w:hAnsi="黑体" w:eastAsia="黑体" w:cs="黑体"/>
          <w:color w:val="000000" w:themeColor="text1"/>
          <w:sz w:val="44"/>
          <w:szCs w:val="44"/>
        </w:rPr>
        <w:t>202</w:t>
      </w:r>
      <w:r>
        <w:rPr>
          <w:rFonts w:hint="eastAsia" w:ascii="黑体" w:hAnsi="黑体" w:eastAsia="黑体" w:cs="黑体"/>
          <w:color w:val="000000" w:themeColor="text1"/>
          <w:sz w:val="44"/>
          <w:szCs w:val="44"/>
        </w:rPr>
        <w:t>2年富阳区重大基础设施建设任务</w:t>
      </w:r>
    </w:p>
    <w:p>
      <w:pPr>
        <w:jc w:val="center"/>
        <w:rPr>
          <w:rFonts w:ascii="黑体" w:hAnsi="黑体" w:eastAsia="黑体" w:cs="Times New Roman"/>
          <w:color w:val="000000" w:themeColor="text1"/>
          <w:sz w:val="44"/>
          <w:szCs w:val="44"/>
        </w:rPr>
      </w:pPr>
      <w:r>
        <w:rPr>
          <w:rFonts w:hint="eastAsia" w:ascii="黑体" w:hAnsi="黑体" w:eastAsia="黑体" w:cs="黑体"/>
          <w:color w:val="000000" w:themeColor="text1"/>
          <w:sz w:val="44"/>
          <w:szCs w:val="44"/>
        </w:rPr>
        <w:t>个性目标</w:t>
      </w:r>
    </w:p>
    <w:tbl>
      <w:tblPr>
        <w:tblStyle w:val="6"/>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lang w:val="en"/>
              </w:rPr>
              <w:t>一</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城市道路及城镇污水处理设施建设</w:t>
            </w:r>
          </w:p>
        </w:tc>
        <w:tc>
          <w:tcPr>
            <w:tcW w:w="1200" w:type="dxa"/>
            <w:vAlign w:val="center"/>
          </w:tcPr>
          <w:p>
            <w:pPr>
              <w:spacing w:line="320" w:lineRule="exact"/>
              <w:jc w:val="center"/>
              <w:rPr>
                <w:rFonts w:ascii="仿宋" w:hAnsi="仿宋" w:eastAsia="仿宋" w:cs="Times New Roman"/>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（一）</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快速路建设</w:t>
            </w:r>
          </w:p>
        </w:tc>
        <w:tc>
          <w:tcPr>
            <w:tcW w:w="1200" w:type="dxa"/>
            <w:vAlign w:val="center"/>
          </w:tcPr>
          <w:p>
            <w:pPr>
              <w:spacing w:line="320" w:lineRule="exact"/>
              <w:jc w:val="center"/>
              <w:rPr>
                <w:rFonts w:ascii="仿宋" w:hAnsi="仿宋" w:eastAsia="仿宋" w:cs="Times New Roman"/>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spacing w:line="320" w:lineRule="exact"/>
              <w:jc w:val="center"/>
              <w:rPr>
                <w:rFonts w:ascii="仿宋" w:hAnsi="仿宋" w:eastAsia="仿宋" w:cs="仿宋"/>
                <w:b/>
                <w:bCs/>
                <w:color w:val="000000" w:themeColor="text1"/>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（二）</w:t>
            </w:r>
          </w:p>
        </w:tc>
        <w:tc>
          <w:tcPr>
            <w:tcW w:w="5917" w:type="dxa"/>
            <w:vAlign w:val="center"/>
          </w:tcPr>
          <w:p>
            <w:pP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地铁重建道路建设</w:t>
            </w:r>
          </w:p>
        </w:tc>
        <w:tc>
          <w:tcPr>
            <w:tcW w:w="1200" w:type="dxa"/>
            <w:vAlign w:val="center"/>
          </w:tcPr>
          <w:p>
            <w:pPr>
              <w:spacing w:line="320" w:lineRule="exact"/>
              <w:jc w:val="center"/>
              <w:rPr>
                <w:rFonts w:ascii="仿宋" w:hAnsi="仿宋" w:eastAsia="仿宋" w:cs="仿宋"/>
                <w:b/>
                <w:bCs/>
                <w:color w:val="000000" w:themeColor="text1"/>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建成并开通：金桥北路、金桥南路综合提升工程（高桥西路-秦望路）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（三）</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“断头路”三年行动计划</w:t>
            </w:r>
          </w:p>
        </w:tc>
        <w:tc>
          <w:tcPr>
            <w:tcW w:w="1200" w:type="dxa"/>
            <w:vAlign w:val="center"/>
          </w:tcPr>
          <w:p>
            <w:pPr>
              <w:spacing w:line="320" w:lineRule="exact"/>
              <w:jc w:val="center"/>
              <w:rPr>
                <w:rFonts w:ascii="仿宋" w:hAnsi="仿宋" w:eastAsia="仿宋" w:cs="Times New Roman"/>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建成并开通：九小周边配套道路、环形路向西延伸工程（东起科创西路，西至规划道路）、五号渠西侧道路（三号渠-公望街）三号渠-公望街</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开工：富春71号地块配套道</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（四）</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主次干路</w:t>
            </w:r>
          </w:p>
        </w:tc>
        <w:tc>
          <w:tcPr>
            <w:tcW w:w="1200" w:type="dxa"/>
            <w:vAlign w:val="center"/>
          </w:tcPr>
          <w:p>
            <w:pPr>
              <w:spacing w:line="320" w:lineRule="exact"/>
              <w:jc w:val="center"/>
              <w:rPr>
                <w:rFonts w:ascii="仿宋" w:hAnsi="仿宋" w:eastAsia="仿宋" w:cs="Times New Roman"/>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建成并开通：富春湾大道一期（飞马路--经纬路）、科甲路（春江南路-亭山路）、赤亭纸路（亭江路）（富春湾大道-亭山路）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续建：富春湾大道二期、王家宕路（滨富路）（江滨南大道-亭山路）、亭山路二期（赤亭纸路至科甲路）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3</w:t>
            </w:r>
          </w:p>
        </w:tc>
        <w:tc>
          <w:tcPr>
            <w:tcW w:w="5917" w:type="dxa"/>
            <w:vAlign w:val="center"/>
          </w:tcPr>
          <w:p>
            <w:pPr>
              <w:adjustRightInd w:val="0"/>
              <w:snapToGrid w:val="0"/>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开工：秦望南路(含一期、二期)</w:t>
            </w:r>
          </w:p>
        </w:tc>
        <w:tc>
          <w:tcPr>
            <w:tcW w:w="1200" w:type="dxa"/>
            <w:vAlign w:val="center"/>
          </w:tcPr>
          <w:p>
            <w:pPr>
              <w:adjustRightInd w:val="0"/>
              <w:snapToGrid w:val="0"/>
              <w:jc w:val="center"/>
              <w:rPr>
                <w:rFonts w:hint="default"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12月底</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（五）</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支路</w:t>
            </w:r>
          </w:p>
        </w:tc>
        <w:tc>
          <w:tcPr>
            <w:tcW w:w="1200" w:type="dxa"/>
            <w:vAlign w:val="center"/>
          </w:tcPr>
          <w:p>
            <w:pPr>
              <w:spacing w:line="320" w:lineRule="exact"/>
              <w:jc w:val="center"/>
              <w:rPr>
                <w:rFonts w:ascii="仿宋" w:hAnsi="仿宋" w:eastAsia="仿宋" w:cs="Times New Roman"/>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建成并开通：银湖小学配套道路（道路一起点接美达路，终点至富闲路；道路二起点接美达路，终点与道路一相连）</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spacing w:line="320" w:lineRule="exact"/>
              <w:jc w:val="center"/>
              <w:rPr>
                <w:rFonts w:ascii="仿宋" w:hAnsi="仿宋" w:eastAsia="仿宋"/>
                <w:b/>
                <w:bCs/>
                <w:color w:val="000000" w:themeColor="text1"/>
                <w:spacing w:val="-10"/>
                <w:sz w:val="24"/>
                <w:szCs w:val="24"/>
              </w:rPr>
            </w:pPr>
            <w:r>
              <w:rPr>
                <w:rFonts w:hint="eastAsia" w:ascii="仿宋" w:hAnsi="仿宋" w:eastAsia="仿宋"/>
                <w:b/>
                <w:bCs/>
                <w:color w:val="000000" w:themeColor="text1"/>
                <w:spacing w:val="-10"/>
                <w:sz w:val="24"/>
                <w:szCs w:val="24"/>
              </w:rPr>
              <w:t>（六）</w:t>
            </w:r>
          </w:p>
        </w:tc>
        <w:tc>
          <w:tcPr>
            <w:tcW w:w="5917" w:type="dxa"/>
            <w:vAlign w:val="center"/>
          </w:tcPr>
          <w:p>
            <w:pPr>
              <w:spacing w:line="320" w:lineRule="exact"/>
              <w:rPr>
                <w:rFonts w:ascii="仿宋" w:hAnsi="仿宋" w:eastAsia="仿宋"/>
                <w:b/>
                <w:bCs/>
                <w:color w:val="000000" w:themeColor="text1"/>
                <w:spacing w:val="-10"/>
                <w:sz w:val="24"/>
                <w:szCs w:val="24"/>
              </w:rPr>
            </w:pPr>
            <w:r>
              <w:rPr>
                <w:rFonts w:hint="eastAsia" w:ascii="仿宋" w:hAnsi="仿宋" w:eastAsia="仿宋"/>
                <w:b/>
                <w:bCs/>
                <w:color w:val="000000" w:themeColor="text1"/>
                <w:spacing w:val="-10"/>
                <w:sz w:val="24"/>
                <w:szCs w:val="24"/>
              </w:rPr>
              <w:t>城镇污水处理设施建设</w:t>
            </w:r>
          </w:p>
        </w:tc>
        <w:tc>
          <w:tcPr>
            <w:tcW w:w="1200" w:type="dxa"/>
            <w:vAlign w:val="center"/>
          </w:tcPr>
          <w:p>
            <w:pPr>
              <w:spacing w:line="320" w:lineRule="exact"/>
              <w:jc w:val="center"/>
              <w:rPr>
                <w:rFonts w:ascii="仿宋" w:hAnsi="仿宋" w:eastAsia="仿宋" w:cs="Times New Roman"/>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完成富阳污水厂五期扩建项目（6万吨/日）总工程量的70%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完成新登污水厂三期扩建项目（3.1万吨/日）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完成富阳污水厂一二三四期（14万吨/日）清洁排放提标改造</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完成新登污水厂一二期（6万吨/日）清洁排放提标改造</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完成富阳区污水管网建设共14公里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完成富阳区中水回用工程（3.2万吨/日）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olor w:val="000000" w:themeColor="text1"/>
                <w:spacing w:val="-10"/>
                <w:sz w:val="24"/>
                <w:szCs w:val="24"/>
              </w:rPr>
            </w:pPr>
            <w:r>
              <w:rPr>
                <w:rFonts w:hint="eastAsia" w:ascii="仿宋" w:hAnsi="仿宋" w:eastAsia="仿宋"/>
                <w:b/>
                <w:bCs/>
                <w:color w:val="000000" w:themeColor="text1"/>
                <w:spacing w:val="-10"/>
                <w:sz w:val="24"/>
                <w:szCs w:val="24"/>
              </w:rPr>
              <w:t>二</w:t>
            </w: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雨水管网建设</w:t>
            </w:r>
          </w:p>
        </w:tc>
        <w:tc>
          <w:tcPr>
            <w:tcW w:w="1200" w:type="dxa"/>
            <w:vAlign w:val="center"/>
          </w:tcPr>
          <w:p>
            <w:pPr>
              <w:spacing w:line="240" w:lineRule="atLeast"/>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完成雨水管网建设共11公里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三</w:t>
            </w: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河道建设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5号渠（二号渠—公望街）</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5号渠（三号渠—公望街）</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四</w:t>
            </w:r>
          </w:p>
        </w:tc>
        <w:tc>
          <w:tcPr>
            <w:tcW w:w="5917" w:type="dxa"/>
            <w:vAlign w:val="center"/>
          </w:tcPr>
          <w:p>
            <w:pPr>
              <w:jc w:val="left"/>
              <w:rPr>
                <w:rFonts w:ascii="仿宋" w:hAnsi="仿宋" w:eastAsia="仿宋"/>
                <w:color w:val="000000" w:themeColor="text1"/>
                <w:spacing w:val="-10"/>
                <w:sz w:val="24"/>
                <w:szCs w:val="24"/>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当年1.67平方公里（建成区面积5%），累计12.33平方公里区域（建成区面积37%）达到海绵城市建设要求，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在全区范围内创建富春湾大道（一期）工程EPC项目、杭州富春湾新城杭黄高铁片区一平方公里综合开发项目金湖水系及景观工程、银湖万达广场周边绿化配套工程项目等15个以上海绵示范项目，重点关注央补项目的海绵设计方案及工程实施；至少打造1个海绵设施与中央隔离带、机非隔离带或道侧绿化相结合的示范性道路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完成杭州市系统化全域推进海绵城市建设项目清单（2021-2023年）中涉及的2022年项目。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五</w:t>
            </w:r>
          </w:p>
        </w:tc>
        <w:tc>
          <w:tcPr>
            <w:tcW w:w="5917" w:type="dxa"/>
            <w:vAlign w:val="center"/>
          </w:tcPr>
          <w:p>
            <w:pPr>
              <w:jc w:val="left"/>
              <w:rPr>
                <w:rFonts w:ascii="仿宋" w:hAnsi="仿宋" w:eastAsia="仿宋"/>
                <w:color w:val="000000" w:themeColor="text1"/>
                <w:spacing w:val="-10"/>
                <w:sz w:val="24"/>
                <w:szCs w:val="24"/>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地下空间建设新增量（完工）15万平方米。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（富阳中心区——秦望片区）秦望广场及周边地区地下一体化开发（秦望眼项目）：地下结构完成70%。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（富阳中心区——富春湾新城片区）富春湾新城4号总部经济地块（富阳拥江主中心—富春湾新城片区）：完成地下结构。</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（富阳中心区——富春湾新城片区）杭黄高铁片区地下空间一体化开发（富阳杭黄社区未来社区项目）：3#地块完成地下结构；其他地块力争完成出让并开工。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六</w:t>
            </w:r>
          </w:p>
        </w:tc>
        <w:tc>
          <w:tcPr>
            <w:tcW w:w="5917" w:type="dxa"/>
            <w:vAlign w:val="center"/>
          </w:tcPr>
          <w:p>
            <w:pPr>
              <w:jc w:val="left"/>
              <w:rPr>
                <w:rFonts w:ascii="仿宋" w:hAnsi="仿宋" w:eastAsia="仿宋"/>
                <w:color w:val="000000" w:themeColor="text1"/>
                <w:spacing w:val="-10"/>
                <w:sz w:val="24"/>
                <w:szCs w:val="24"/>
              </w:rPr>
            </w:pPr>
            <w:r>
              <w:rPr>
                <w:rFonts w:ascii="宋体" w:hAnsi="宋体"/>
                <w:b/>
                <w:bCs/>
                <w:sz w:val="24"/>
                <w:szCs w:val="22"/>
              </w:rPr>
              <w:t>地下综合管廊建设</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富春湾综合管廊工程：管廊主体结构完工。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秦望通道（含在地块开发项目在内）：2022年完成总工程量的30%。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七</w:t>
            </w:r>
          </w:p>
        </w:tc>
        <w:tc>
          <w:tcPr>
            <w:tcW w:w="5917" w:type="dxa"/>
            <w:vAlign w:val="center"/>
          </w:tcPr>
          <w:p>
            <w:pPr>
              <w:jc w:val="left"/>
              <w:rPr>
                <w:rFonts w:ascii="仿宋" w:hAnsi="仿宋" w:eastAsia="仿宋"/>
                <w:color w:val="000000" w:themeColor="text1"/>
                <w:spacing w:val="-10"/>
                <w:sz w:val="24"/>
                <w:szCs w:val="24"/>
              </w:rPr>
            </w:pPr>
            <w:r>
              <w:rPr>
                <w:rFonts w:ascii="宋体" w:hAnsi="宋体"/>
                <w:b/>
                <w:bCs/>
                <w:sz w:val="24"/>
                <w:szCs w:val="22"/>
              </w:rPr>
              <w:t>输变电工程建设</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明确巨利110千伏输变电工程站址及土地收储。</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完成渌渚110千伏输变电工程站址土地交付。</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220千伏亭山变整体迁建工程4月完成迁建协议签订。新变电站10月底前开工建设。</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110千伏灵桥变整体迁建工程5月完成迁建协议签订。新变电站11月底前开工建设。</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完成湖杭铁路浙江杭州桐庐东牵引站220千伏外部供电工程沿线街道乡镇的政策处理。</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八</w:t>
            </w:r>
          </w:p>
        </w:tc>
        <w:tc>
          <w:tcPr>
            <w:tcW w:w="5917" w:type="dxa"/>
            <w:vAlign w:val="center"/>
          </w:tcPr>
          <w:p>
            <w:pPr>
              <w:jc w:val="left"/>
              <w:rPr>
                <w:rFonts w:ascii="仿宋" w:hAnsi="仿宋" w:eastAsia="仿宋"/>
                <w:color w:val="000000" w:themeColor="text1"/>
                <w:spacing w:val="-10"/>
                <w:sz w:val="24"/>
                <w:szCs w:val="24"/>
              </w:rPr>
            </w:pPr>
            <w:r>
              <w:rPr>
                <w:rFonts w:hint="eastAsia" w:ascii="宋体" w:hAnsi="宋体" w:cs="Times New Roman"/>
                <w:b/>
                <w:bCs/>
                <w:sz w:val="24"/>
                <w:szCs w:val="22"/>
              </w:rPr>
              <w:t>供水管网设施建设</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新建供水管网15公里；</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改造供水管网8公里。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九</w:t>
            </w:r>
          </w:p>
        </w:tc>
        <w:tc>
          <w:tcPr>
            <w:tcW w:w="5917" w:type="dxa"/>
            <w:vAlign w:val="center"/>
          </w:tcPr>
          <w:p>
            <w:pPr>
              <w:jc w:val="left"/>
              <w:rPr>
                <w:rFonts w:ascii="仿宋" w:hAnsi="仿宋" w:eastAsia="仿宋"/>
                <w:color w:val="000000" w:themeColor="text1"/>
                <w:spacing w:val="-10"/>
                <w:sz w:val="24"/>
                <w:szCs w:val="24"/>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5280个，省民生标准公共泊位350个。年度累计新增停车泊位9500个，其中公共泊位（非临时）400个。6月底前完成年度各类停车位竣工量原则不低于25%,11月底前完成省民生实事计划建设项目，其他项目完工原则不低于90%。新开工及续建公共停车泊位不少于2100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做好2023年公共停车场民生项目储备，年底前完成湖杭高铁富阳西站地下公共停车库竣工准备。</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完成新能源汽车公用充电桩不少于110个。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十</w:t>
            </w:r>
          </w:p>
        </w:tc>
        <w:tc>
          <w:tcPr>
            <w:tcW w:w="5917" w:type="dxa"/>
            <w:vAlign w:val="center"/>
          </w:tcPr>
          <w:p>
            <w:pPr>
              <w:jc w:val="left"/>
              <w:rPr>
                <w:rFonts w:ascii="仿宋" w:hAnsi="仿宋" w:eastAsia="仿宋"/>
                <w:color w:val="000000" w:themeColor="text1"/>
                <w:spacing w:val="-10"/>
                <w:sz w:val="24"/>
                <w:szCs w:val="24"/>
              </w:rPr>
            </w:pPr>
            <w:r>
              <w:rPr>
                <w:rFonts w:ascii="宋体" w:hAnsi="宋体"/>
                <w:b/>
                <w:bCs/>
                <w:sz w:val="24"/>
                <w:szCs w:val="22"/>
              </w:rPr>
              <w:t>绿色建筑及建筑节能</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完成公共建筑节能改造2万平方米，居住建筑节能绿色化改造1万平方米；完成可再生能源建筑应用55万平方米；实施（含完成）建筑太阳能光伏装机容量11.5兆瓦</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辖区单位争创省级绿色施工示范项目不少于2个；完成高星级绿色建筑示范项目立项不少于1个；完成超低能耗建筑示范立项不少于1.5万平方米；完成近零能耗建筑示范立项不少于1个；完成高替代率可再生能源建筑应用示范立项不少于5万平方米；完成既有公共建筑能效提升示范立项不少于12万平方米；开展绿色生态城区前期储备。</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十一</w:t>
            </w:r>
          </w:p>
        </w:tc>
        <w:tc>
          <w:tcPr>
            <w:tcW w:w="5917" w:type="dxa"/>
            <w:vAlign w:val="center"/>
          </w:tcPr>
          <w:p>
            <w:pPr>
              <w:jc w:val="left"/>
              <w:rPr>
                <w:rFonts w:ascii="仿宋" w:hAnsi="仿宋" w:eastAsia="仿宋"/>
                <w:color w:val="000000" w:themeColor="text1"/>
                <w:spacing w:val="-10"/>
                <w:sz w:val="24"/>
                <w:szCs w:val="24"/>
              </w:rPr>
            </w:pPr>
            <w:r>
              <w:rPr>
                <w:rFonts w:ascii="宋体" w:hAnsi="宋体"/>
                <w:b/>
                <w:bCs/>
                <w:sz w:val="24"/>
                <w:szCs w:val="22"/>
              </w:rPr>
              <w:t>装配式建筑（建筑工业化）</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全年新开工装配式建筑面积达到180万平方米以上。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新开工装配式建筑占新建建筑比例达到30%。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全年新开工装配式住宅面积达到80万平方米以上。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全年新开工钢结构装配式住宅(含农房)达到2万平方米以上。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r>
              <w:rPr>
                <w:rFonts w:hint="eastAsia" w:ascii="仿宋" w:hAnsi="仿宋" w:eastAsia="仿宋" w:cs="仿宋"/>
                <w:b/>
                <w:bCs/>
                <w:color w:val="000000" w:themeColor="text1"/>
                <w:spacing w:val="-10"/>
                <w:sz w:val="24"/>
                <w:szCs w:val="24"/>
              </w:rPr>
              <w:t>十二</w:t>
            </w:r>
          </w:p>
        </w:tc>
        <w:tc>
          <w:tcPr>
            <w:tcW w:w="5917" w:type="dxa"/>
            <w:vAlign w:val="center"/>
          </w:tcPr>
          <w:p>
            <w:pPr>
              <w:jc w:val="left"/>
              <w:rPr>
                <w:rFonts w:ascii="仿宋" w:hAnsi="仿宋" w:eastAsia="仿宋"/>
                <w:color w:val="000000" w:themeColor="text1"/>
                <w:spacing w:val="-10"/>
                <w:sz w:val="24"/>
                <w:szCs w:val="24"/>
              </w:rPr>
            </w:pPr>
            <w:r>
              <w:rPr>
                <w:rFonts w:hint="eastAsia" w:ascii="宋体" w:hAnsi="宋体" w:cs="Times New Roman"/>
                <w:b/>
                <w:bCs/>
                <w:sz w:val="24"/>
                <w:szCs w:val="22"/>
              </w:rPr>
              <w:t>千岛湖供水及配套工程</w:t>
            </w:r>
          </w:p>
        </w:tc>
        <w:tc>
          <w:tcPr>
            <w:tcW w:w="1200" w:type="dxa"/>
            <w:vAlign w:val="center"/>
          </w:tcPr>
          <w:p>
            <w:pPr>
              <w:jc w:val="center"/>
              <w:rPr>
                <w:rFonts w:ascii="仿宋" w:hAnsi="仿宋" w:eastAsia="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rPr>
            </w:pPr>
          </w:p>
        </w:tc>
        <w:tc>
          <w:tcPr>
            <w:tcW w:w="5917" w:type="dxa"/>
            <w:vAlign w:val="center"/>
          </w:tcPr>
          <w:p>
            <w:pPr>
              <w:jc w:val="left"/>
              <w:rPr>
                <w:rFonts w:ascii="仿宋" w:hAnsi="仿宋" w:eastAsia="仿宋"/>
                <w:color w:val="000000" w:themeColor="text1"/>
                <w:spacing w:val="-10"/>
                <w:sz w:val="24"/>
                <w:szCs w:val="24"/>
              </w:rPr>
            </w:pPr>
            <w:r>
              <w:rPr>
                <w:rFonts w:hint="eastAsia" w:ascii="仿宋" w:hAnsi="仿宋" w:eastAsia="仿宋" w:cs="仿宋"/>
                <w:spacing w:val="-10"/>
                <w:sz w:val="24"/>
                <w:szCs w:val="24"/>
              </w:rPr>
              <w:t>无</w:t>
            </w:r>
          </w:p>
        </w:tc>
        <w:tc>
          <w:tcPr>
            <w:tcW w:w="1200" w:type="dxa"/>
            <w:vAlign w:val="center"/>
          </w:tcPr>
          <w:p>
            <w:pPr>
              <w:jc w:val="center"/>
              <w:rPr>
                <w:rFonts w:ascii="仿宋" w:hAnsi="仿宋" w:eastAsia="仿宋"/>
                <w:color w:val="000000" w:themeColor="text1"/>
                <w:spacing w:val="-10"/>
                <w:sz w:val="24"/>
                <w:szCs w:val="24"/>
              </w:rPr>
            </w:pPr>
          </w:p>
        </w:tc>
      </w:tr>
    </w:tbl>
    <w:p>
      <w:pPr>
        <w:rPr>
          <w:rFonts w:ascii="仿宋" w:hAnsi="仿宋" w:eastAsia="仿宋" w:cs="Times New Roman"/>
          <w:color w:val="000000" w:themeColor="text1"/>
          <w:spacing w:val="-20"/>
          <w:position w:val="6"/>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false"/>
  <w:bordersDoNotSurroundFooter w:val="false"/>
  <w:doNotTrackMoves/>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VhZjRhN2VkNGUyNzllODlhYjIyMjdhODY4YTJhMmUifQ=="/>
  </w:docVars>
  <w:rsids>
    <w:rsidRoot w:val="00940E77"/>
    <w:rsid w:val="00012DED"/>
    <w:rsid w:val="000219C9"/>
    <w:rsid w:val="00024B23"/>
    <w:rsid w:val="00030F9C"/>
    <w:rsid w:val="000350D4"/>
    <w:rsid w:val="00041551"/>
    <w:rsid w:val="00055FA8"/>
    <w:rsid w:val="00061357"/>
    <w:rsid w:val="00062B59"/>
    <w:rsid w:val="00071129"/>
    <w:rsid w:val="000721C2"/>
    <w:rsid w:val="00077C88"/>
    <w:rsid w:val="00085F70"/>
    <w:rsid w:val="000860A7"/>
    <w:rsid w:val="00090B1D"/>
    <w:rsid w:val="00092AD5"/>
    <w:rsid w:val="000A14BE"/>
    <w:rsid w:val="000A4BB8"/>
    <w:rsid w:val="000A4C39"/>
    <w:rsid w:val="000B7116"/>
    <w:rsid w:val="000C12C0"/>
    <w:rsid w:val="000C4E1B"/>
    <w:rsid w:val="000C6876"/>
    <w:rsid w:val="000E00A0"/>
    <w:rsid w:val="000E1C39"/>
    <w:rsid w:val="000E43CF"/>
    <w:rsid w:val="001008F2"/>
    <w:rsid w:val="00112764"/>
    <w:rsid w:val="00122747"/>
    <w:rsid w:val="00125731"/>
    <w:rsid w:val="00141221"/>
    <w:rsid w:val="00152753"/>
    <w:rsid w:val="00152AD7"/>
    <w:rsid w:val="00153DA9"/>
    <w:rsid w:val="00155AA6"/>
    <w:rsid w:val="00156EB3"/>
    <w:rsid w:val="0016095D"/>
    <w:rsid w:val="00160DBE"/>
    <w:rsid w:val="001611AB"/>
    <w:rsid w:val="001631C6"/>
    <w:rsid w:val="00170442"/>
    <w:rsid w:val="001932ED"/>
    <w:rsid w:val="00196CB3"/>
    <w:rsid w:val="001A67A9"/>
    <w:rsid w:val="001A6CDA"/>
    <w:rsid w:val="001C7E4A"/>
    <w:rsid w:val="001D25D8"/>
    <w:rsid w:val="001F5A84"/>
    <w:rsid w:val="001F5CE9"/>
    <w:rsid w:val="00203C1F"/>
    <w:rsid w:val="00207B08"/>
    <w:rsid w:val="00216735"/>
    <w:rsid w:val="002212B5"/>
    <w:rsid w:val="00225917"/>
    <w:rsid w:val="002264C0"/>
    <w:rsid w:val="002274D6"/>
    <w:rsid w:val="00235E06"/>
    <w:rsid w:val="00246479"/>
    <w:rsid w:val="002547F3"/>
    <w:rsid w:val="00262C37"/>
    <w:rsid w:val="00281853"/>
    <w:rsid w:val="00281BFF"/>
    <w:rsid w:val="00284B9F"/>
    <w:rsid w:val="00286756"/>
    <w:rsid w:val="00293988"/>
    <w:rsid w:val="002A1656"/>
    <w:rsid w:val="002A1AA2"/>
    <w:rsid w:val="002C0FDD"/>
    <w:rsid w:val="002C1E2C"/>
    <w:rsid w:val="002C4905"/>
    <w:rsid w:val="002C6907"/>
    <w:rsid w:val="002D0AAA"/>
    <w:rsid w:val="002D70F6"/>
    <w:rsid w:val="002D7C2D"/>
    <w:rsid w:val="002E03BF"/>
    <w:rsid w:val="002E4B0B"/>
    <w:rsid w:val="002F3EF0"/>
    <w:rsid w:val="002F4034"/>
    <w:rsid w:val="002F56E7"/>
    <w:rsid w:val="002F5780"/>
    <w:rsid w:val="002F6380"/>
    <w:rsid w:val="00313DEE"/>
    <w:rsid w:val="00330CAD"/>
    <w:rsid w:val="00330FFB"/>
    <w:rsid w:val="00332FE8"/>
    <w:rsid w:val="0033460F"/>
    <w:rsid w:val="003456B9"/>
    <w:rsid w:val="00352BB7"/>
    <w:rsid w:val="003562AB"/>
    <w:rsid w:val="0036199B"/>
    <w:rsid w:val="00365BBB"/>
    <w:rsid w:val="00372923"/>
    <w:rsid w:val="003765A5"/>
    <w:rsid w:val="003772FE"/>
    <w:rsid w:val="00380902"/>
    <w:rsid w:val="0039738F"/>
    <w:rsid w:val="003A23C7"/>
    <w:rsid w:val="003A3748"/>
    <w:rsid w:val="003B005E"/>
    <w:rsid w:val="003C33EF"/>
    <w:rsid w:val="003C5E93"/>
    <w:rsid w:val="003C6035"/>
    <w:rsid w:val="003D1942"/>
    <w:rsid w:val="003D1EBA"/>
    <w:rsid w:val="003D3CCF"/>
    <w:rsid w:val="003D4919"/>
    <w:rsid w:val="003D6486"/>
    <w:rsid w:val="003E17EB"/>
    <w:rsid w:val="003E1994"/>
    <w:rsid w:val="003E3A54"/>
    <w:rsid w:val="003E7955"/>
    <w:rsid w:val="003F165B"/>
    <w:rsid w:val="0040708F"/>
    <w:rsid w:val="00426028"/>
    <w:rsid w:val="00427F85"/>
    <w:rsid w:val="00443B32"/>
    <w:rsid w:val="00470F1A"/>
    <w:rsid w:val="00481512"/>
    <w:rsid w:val="00482133"/>
    <w:rsid w:val="004837EF"/>
    <w:rsid w:val="004A1E2A"/>
    <w:rsid w:val="004B1229"/>
    <w:rsid w:val="004C116F"/>
    <w:rsid w:val="004C665D"/>
    <w:rsid w:val="004D508F"/>
    <w:rsid w:val="004E0711"/>
    <w:rsid w:val="004E0930"/>
    <w:rsid w:val="004E5630"/>
    <w:rsid w:val="004F2B17"/>
    <w:rsid w:val="005061A1"/>
    <w:rsid w:val="00510154"/>
    <w:rsid w:val="00516AE6"/>
    <w:rsid w:val="00523F64"/>
    <w:rsid w:val="00527D39"/>
    <w:rsid w:val="005324D7"/>
    <w:rsid w:val="00533679"/>
    <w:rsid w:val="00533EED"/>
    <w:rsid w:val="0053635C"/>
    <w:rsid w:val="0053731F"/>
    <w:rsid w:val="005401BD"/>
    <w:rsid w:val="00541F25"/>
    <w:rsid w:val="005428CB"/>
    <w:rsid w:val="00546FAD"/>
    <w:rsid w:val="00570470"/>
    <w:rsid w:val="00570607"/>
    <w:rsid w:val="005862F3"/>
    <w:rsid w:val="00597870"/>
    <w:rsid w:val="005B75E2"/>
    <w:rsid w:val="005C1533"/>
    <w:rsid w:val="005C453A"/>
    <w:rsid w:val="005C76C2"/>
    <w:rsid w:val="005D62F7"/>
    <w:rsid w:val="005E45E2"/>
    <w:rsid w:val="005E7F18"/>
    <w:rsid w:val="005F7BB1"/>
    <w:rsid w:val="005F7F98"/>
    <w:rsid w:val="00625190"/>
    <w:rsid w:val="006301D4"/>
    <w:rsid w:val="006337D8"/>
    <w:rsid w:val="00642059"/>
    <w:rsid w:val="006446F2"/>
    <w:rsid w:val="006453D6"/>
    <w:rsid w:val="0065011E"/>
    <w:rsid w:val="006568DF"/>
    <w:rsid w:val="00662548"/>
    <w:rsid w:val="006628DA"/>
    <w:rsid w:val="00665045"/>
    <w:rsid w:val="006805AA"/>
    <w:rsid w:val="00684126"/>
    <w:rsid w:val="006928B1"/>
    <w:rsid w:val="006938FB"/>
    <w:rsid w:val="006B227F"/>
    <w:rsid w:val="006C06FB"/>
    <w:rsid w:val="006C6DBF"/>
    <w:rsid w:val="006C7524"/>
    <w:rsid w:val="00705704"/>
    <w:rsid w:val="007142CE"/>
    <w:rsid w:val="00717853"/>
    <w:rsid w:val="00720EC3"/>
    <w:rsid w:val="00722FAF"/>
    <w:rsid w:val="00725720"/>
    <w:rsid w:val="007301A3"/>
    <w:rsid w:val="00730A67"/>
    <w:rsid w:val="0073493E"/>
    <w:rsid w:val="00735174"/>
    <w:rsid w:val="00740E2E"/>
    <w:rsid w:val="00750576"/>
    <w:rsid w:val="00760352"/>
    <w:rsid w:val="007606E2"/>
    <w:rsid w:val="00771441"/>
    <w:rsid w:val="00784D4D"/>
    <w:rsid w:val="00786AA6"/>
    <w:rsid w:val="007A440A"/>
    <w:rsid w:val="007A4C4F"/>
    <w:rsid w:val="007A6DA5"/>
    <w:rsid w:val="007B4EA7"/>
    <w:rsid w:val="007C3091"/>
    <w:rsid w:val="007C55EC"/>
    <w:rsid w:val="007D1A94"/>
    <w:rsid w:val="007E1264"/>
    <w:rsid w:val="007E1CEC"/>
    <w:rsid w:val="00802D66"/>
    <w:rsid w:val="00803675"/>
    <w:rsid w:val="0080496A"/>
    <w:rsid w:val="008312E7"/>
    <w:rsid w:val="00835ACB"/>
    <w:rsid w:val="00836764"/>
    <w:rsid w:val="008373A5"/>
    <w:rsid w:val="008403A3"/>
    <w:rsid w:val="00847DA3"/>
    <w:rsid w:val="00857825"/>
    <w:rsid w:val="00863AA7"/>
    <w:rsid w:val="008669D4"/>
    <w:rsid w:val="00867B10"/>
    <w:rsid w:val="008727A9"/>
    <w:rsid w:val="0088329A"/>
    <w:rsid w:val="00891058"/>
    <w:rsid w:val="0089171D"/>
    <w:rsid w:val="00892A8F"/>
    <w:rsid w:val="00897E0E"/>
    <w:rsid w:val="008A12F9"/>
    <w:rsid w:val="008B7BEE"/>
    <w:rsid w:val="008C19C9"/>
    <w:rsid w:val="008C77EA"/>
    <w:rsid w:val="008D0B3A"/>
    <w:rsid w:val="008D1AEF"/>
    <w:rsid w:val="008D21B5"/>
    <w:rsid w:val="008D5F91"/>
    <w:rsid w:val="00902595"/>
    <w:rsid w:val="00922C65"/>
    <w:rsid w:val="00927CD5"/>
    <w:rsid w:val="009301AA"/>
    <w:rsid w:val="00931949"/>
    <w:rsid w:val="00931A31"/>
    <w:rsid w:val="009324D7"/>
    <w:rsid w:val="009336CA"/>
    <w:rsid w:val="00940E77"/>
    <w:rsid w:val="00946783"/>
    <w:rsid w:val="009531B9"/>
    <w:rsid w:val="00953C10"/>
    <w:rsid w:val="00957441"/>
    <w:rsid w:val="00960179"/>
    <w:rsid w:val="009601F7"/>
    <w:rsid w:val="00962278"/>
    <w:rsid w:val="00967C9D"/>
    <w:rsid w:val="009719B3"/>
    <w:rsid w:val="00972208"/>
    <w:rsid w:val="00975026"/>
    <w:rsid w:val="009A501D"/>
    <w:rsid w:val="009B4D1F"/>
    <w:rsid w:val="009D2100"/>
    <w:rsid w:val="009D21B9"/>
    <w:rsid w:val="009D3BE6"/>
    <w:rsid w:val="009D6445"/>
    <w:rsid w:val="009F0174"/>
    <w:rsid w:val="00A014DA"/>
    <w:rsid w:val="00A06CD4"/>
    <w:rsid w:val="00A17BCC"/>
    <w:rsid w:val="00A25269"/>
    <w:rsid w:val="00A322A5"/>
    <w:rsid w:val="00A346B9"/>
    <w:rsid w:val="00A34906"/>
    <w:rsid w:val="00A36EA8"/>
    <w:rsid w:val="00A42656"/>
    <w:rsid w:val="00A565A6"/>
    <w:rsid w:val="00A624C8"/>
    <w:rsid w:val="00A7203A"/>
    <w:rsid w:val="00A83A0D"/>
    <w:rsid w:val="00A85DA4"/>
    <w:rsid w:val="00A85DDB"/>
    <w:rsid w:val="00A8740D"/>
    <w:rsid w:val="00AA09C8"/>
    <w:rsid w:val="00AA4268"/>
    <w:rsid w:val="00AC2671"/>
    <w:rsid w:val="00AC32B9"/>
    <w:rsid w:val="00AD1D17"/>
    <w:rsid w:val="00AD462C"/>
    <w:rsid w:val="00AF074D"/>
    <w:rsid w:val="00B0088E"/>
    <w:rsid w:val="00B0226E"/>
    <w:rsid w:val="00B12D09"/>
    <w:rsid w:val="00B25373"/>
    <w:rsid w:val="00B254EF"/>
    <w:rsid w:val="00B3438C"/>
    <w:rsid w:val="00B4572F"/>
    <w:rsid w:val="00B50038"/>
    <w:rsid w:val="00B6209C"/>
    <w:rsid w:val="00B727E8"/>
    <w:rsid w:val="00B773D1"/>
    <w:rsid w:val="00B77FD4"/>
    <w:rsid w:val="00B80FDF"/>
    <w:rsid w:val="00B82794"/>
    <w:rsid w:val="00B843F2"/>
    <w:rsid w:val="00B902F9"/>
    <w:rsid w:val="00B926F1"/>
    <w:rsid w:val="00B92D35"/>
    <w:rsid w:val="00BA06C8"/>
    <w:rsid w:val="00BB645F"/>
    <w:rsid w:val="00BC296F"/>
    <w:rsid w:val="00BC6FC3"/>
    <w:rsid w:val="00BD427B"/>
    <w:rsid w:val="00BD524F"/>
    <w:rsid w:val="00BD6912"/>
    <w:rsid w:val="00BE1271"/>
    <w:rsid w:val="00BF18DC"/>
    <w:rsid w:val="00C1253C"/>
    <w:rsid w:val="00C17954"/>
    <w:rsid w:val="00C27A3A"/>
    <w:rsid w:val="00C30BB7"/>
    <w:rsid w:val="00C3516D"/>
    <w:rsid w:val="00C459D1"/>
    <w:rsid w:val="00C51484"/>
    <w:rsid w:val="00C51A42"/>
    <w:rsid w:val="00C524BE"/>
    <w:rsid w:val="00C559AB"/>
    <w:rsid w:val="00C66307"/>
    <w:rsid w:val="00C80375"/>
    <w:rsid w:val="00C81C24"/>
    <w:rsid w:val="00C96827"/>
    <w:rsid w:val="00CA34ED"/>
    <w:rsid w:val="00CB5407"/>
    <w:rsid w:val="00CC29DA"/>
    <w:rsid w:val="00CC52F4"/>
    <w:rsid w:val="00CD2D62"/>
    <w:rsid w:val="00CD5CB7"/>
    <w:rsid w:val="00CD730F"/>
    <w:rsid w:val="00CE390B"/>
    <w:rsid w:val="00CF5C79"/>
    <w:rsid w:val="00D03532"/>
    <w:rsid w:val="00D24F0C"/>
    <w:rsid w:val="00D41604"/>
    <w:rsid w:val="00D4311D"/>
    <w:rsid w:val="00D46217"/>
    <w:rsid w:val="00D71F00"/>
    <w:rsid w:val="00D7223D"/>
    <w:rsid w:val="00D820E7"/>
    <w:rsid w:val="00D843FF"/>
    <w:rsid w:val="00D950E1"/>
    <w:rsid w:val="00DA7141"/>
    <w:rsid w:val="00DA7D63"/>
    <w:rsid w:val="00DD2D65"/>
    <w:rsid w:val="00DE07DB"/>
    <w:rsid w:val="00DE1DC4"/>
    <w:rsid w:val="00DE2045"/>
    <w:rsid w:val="00DF7E52"/>
    <w:rsid w:val="00E02927"/>
    <w:rsid w:val="00E21BA8"/>
    <w:rsid w:val="00E27E34"/>
    <w:rsid w:val="00E3216D"/>
    <w:rsid w:val="00E368F4"/>
    <w:rsid w:val="00E50DDC"/>
    <w:rsid w:val="00E52409"/>
    <w:rsid w:val="00E53EC8"/>
    <w:rsid w:val="00E624C5"/>
    <w:rsid w:val="00E6661A"/>
    <w:rsid w:val="00E6688B"/>
    <w:rsid w:val="00E71D40"/>
    <w:rsid w:val="00E77A5C"/>
    <w:rsid w:val="00E93C94"/>
    <w:rsid w:val="00E967A0"/>
    <w:rsid w:val="00EA28FB"/>
    <w:rsid w:val="00EA410C"/>
    <w:rsid w:val="00EB107A"/>
    <w:rsid w:val="00EB2AEE"/>
    <w:rsid w:val="00EC3DA2"/>
    <w:rsid w:val="00EC678F"/>
    <w:rsid w:val="00ED22BB"/>
    <w:rsid w:val="00F0015E"/>
    <w:rsid w:val="00F00C36"/>
    <w:rsid w:val="00F0117D"/>
    <w:rsid w:val="00F06D25"/>
    <w:rsid w:val="00F10EAC"/>
    <w:rsid w:val="00F1166B"/>
    <w:rsid w:val="00F12BE9"/>
    <w:rsid w:val="00F17218"/>
    <w:rsid w:val="00F33AD0"/>
    <w:rsid w:val="00F354E1"/>
    <w:rsid w:val="00F3635D"/>
    <w:rsid w:val="00F40D44"/>
    <w:rsid w:val="00F4521D"/>
    <w:rsid w:val="00F53941"/>
    <w:rsid w:val="00F56B4D"/>
    <w:rsid w:val="00F57F7E"/>
    <w:rsid w:val="00F61A33"/>
    <w:rsid w:val="00F64A0B"/>
    <w:rsid w:val="00F8723D"/>
    <w:rsid w:val="00FA5F50"/>
    <w:rsid w:val="00FA6213"/>
    <w:rsid w:val="00FA7FD1"/>
    <w:rsid w:val="00FB47EF"/>
    <w:rsid w:val="00FB7CEC"/>
    <w:rsid w:val="00FC12AA"/>
    <w:rsid w:val="00FC4C4D"/>
    <w:rsid w:val="00FD1B12"/>
    <w:rsid w:val="00FD37D1"/>
    <w:rsid w:val="00FD73AE"/>
    <w:rsid w:val="00FF2324"/>
    <w:rsid w:val="025A5BE8"/>
    <w:rsid w:val="04732647"/>
    <w:rsid w:val="065E09A3"/>
    <w:rsid w:val="08EF67C1"/>
    <w:rsid w:val="0B187AA4"/>
    <w:rsid w:val="0D2D54B7"/>
    <w:rsid w:val="0DB36265"/>
    <w:rsid w:val="0E12019E"/>
    <w:rsid w:val="14CF46D2"/>
    <w:rsid w:val="1649096A"/>
    <w:rsid w:val="17F9EBE0"/>
    <w:rsid w:val="19907D53"/>
    <w:rsid w:val="1A166D43"/>
    <w:rsid w:val="1C9906A5"/>
    <w:rsid w:val="1CE05104"/>
    <w:rsid w:val="1DD10EAE"/>
    <w:rsid w:val="1F13724B"/>
    <w:rsid w:val="25B366D3"/>
    <w:rsid w:val="264B5394"/>
    <w:rsid w:val="294D49AC"/>
    <w:rsid w:val="29B5F05A"/>
    <w:rsid w:val="2A2C6A9E"/>
    <w:rsid w:val="2D3570E0"/>
    <w:rsid w:val="2D47711C"/>
    <w:rsid w:val="2DCD6548"/>
    <w:rsid w:val="2FBD1283"/>
    <w:rsid w:val="31C86BE2"/>
    <w:rsid w:val="32232AE7"/>
    <w:rsid w:val="33CD7C09"/>
    <w:rsid w:val="34585F22"/>
    <w:rsid w:val="346134DB"/>
    <w:rsid w:val="35DD7242"/>
    <w:rsid w:val="37D749F2"/>
    <w:rsid w:val="39247883"/>
    <w:rsid w:val="3B406721"/>
    <w:rsid w:val="3E4302B8"/>
    <w:rsid w:val="3FD90DB0"/>
    <w:rsid w:val="3FFE028F"/>
    <w:rsid w:val="40972C3D"/>
    <w:rsid w:val="418D5DEE"/>
    <w:rsid w:val="43FA13CE"/>
    <w:rsid w:val="49065746"/>
    <w:rsid w:val="49A17B84"/>
    <w:rsid w:val="4BC2110E"/>
    <w:rsid w:val="4C356DB4"/>
    <w:rsid w:val="4C7C2E48"/>
    <w:rsid w:val="50B27D99"/>
    <w:rsid w:val="5220793B"/>
    <w:rsid w:val="54BA4F19"/>
    <w:rsid w:val="57F932F9"/>
    <w:rsid w:val="5DD0097B"/>
    <w:rsid w:val="5DFA6566"/>
    <w:rsid w:val="61970C43"/>
    <w:rsid w:val="63400ABB"/>
    <w:rsid w:val="6576079D"/>
    <w:rsid w:val="67FECA8E"/>
    <w:rsid w:val="689D594F"/>
    <w:rsid w:val="6D357C39"/>
    <w:rsid w:val="726E0039"/>
    <w:rsid w:val="751678CE"/>
    <w:rsid w:val="767E0A1D"/>
    <w:rsid w:val="7838441B"/>
    <w:rsid w:val="78CF1B0B"/>
    <w:rsid w:val="7BE851E0"/>
    <w:rsid w:val="7C442F72"/>
    <w:rsid w:val="7D754B82"/>
    <w:rsid w:val="7DF6F856"/>
    <w:rsid w:val="7F4F0743"/>
    <w:rsid w:val="7FBFAFB0"/>
    <w:rsid w:val="7FFF9413"/>
    <w:rsid w:val="BDE7E68A"/>
    <w:rsid w:val="D7AF9FFE"/>
    <w:rsid w:val="EFBD9E83"/>
    <w:rsid w:val="F8FD6C25"/>
    <w:rsid w:val="FDE91F39"/>
    <w:rsid w:val="FDF91C1B"/>
    <w:rsid w:val="FF3E920F"/>
    <w:rsid w:val="FF6FBD25"/>
    <w:rsid w:val="FFFE8FA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rFonts w:cs="Times New Roman"/>
      <w:sz w:val="18"/>
      <w:szCs w:val="18"/>
    </w:rPr>
  </w:style>
  <w:style w:type="paragraph" w:styleId="3">
    <w:name w:val="footer"/>
    <w:basedOn w:val="1"/>
    <w:link w:val="10"/>
    <w:qFormat/>
    <w:uiPriority w:val="99"/>
    <w:pPr>
      <w:tabs>
        <w:tab w:val="center" w:pos="4153"/>
        <w:tab w:val="right" w:pos="8306"/>
      </w:tabs>
      <w:snapToGrid w:val="0"/>
      <w:jc w:val="left"/>
    </w:pPr>
    <w:rPr>
      <w:rFonts w:cs="Times New Roman"/>
      <w:kern w:val="0"/>
      <w:sz w:val="18"/>
      <w:szCs w:val="20"/>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cs="Times New Roman"/>
      <w:kern w:val="0"/>
      <w:sz w:val="18"/>
      <w:szCs w:val="20"/>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link w:val="2"/>
    <w:semiHidden/>
    <w:qFormat/>
    <w:locked/>
    <w:uiPriority w:val="99"/>
    <w:rPr>
      <w:rFonts w:cs="Times New Roman"/>
      <w:kern w:val="2"/>
      <w:sz w:val="18"/>
    </w:rPr>
  </w:style>
  <w:style w:type="character" w:customStyle="1" w:styleId="10">
    <w:name w:val="页脚 字符"/>
    <w:link w:val="3"/>
    <w:qFormat/>
    <w:locked/>
    <w:uiPriority w:val="99"/>
    <w:rPr>
      <w:rFonts w:cs="Times New Roman"/>
      <w:sz w:val="18"/>
    </w:rPr>
  </w:style>
  <w:style w:type="character" w:customStyle="1" w:styleId="11">
    <w:name w:val="页眉 字符"/>
    <w:link w:val="4"/>
    <w:qFormat/>
    <w:locked/>
    <w:uiPriority w:val="99"/>
    <w:rPr>
      <w:rFonts w:cs="Times New Roman"/>
      <w:sz w:val="18"/>
    </w:rPr>
  </w:style>
  <w:style w:type="character" w:customStyle="1" w:styleId="12">
    <w:name w:val="font01"/>
    <w:qFormat/>
    <w:uiPriority w:val="99"/>
    <w:rPr>
      <w:rFonts w:ascii="宋体" w:hAnsi="宋体" w:eastAsia="宋体"/>
      <w:color w:val="000000"/>
      <w:sz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660</Words>
  <Characters>3762</Characters>
  <Lines>31</Lines>
  <Paragraphs>8</Paragraphs>
  <TotalTime>1</TotalTime>
  <ScaleCrop>false</ScaleCrop>
  <LinksUpToDate>false</LinksUpToDate>
  <CharactersWithSpaces>4414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2020-03-13T06:58:00Z</dcterms:created>
  <dc:creator>谢宁</dc:creator>
  <cp:lastModifiedBy>user</cp:lastModifiedBy>
  <cp:lastPrinted>2022-02-18T10:23:00Z</cp:lastPrinted>
  <dcterms:modified xsi:type="dcterms:W3CDTF">2022-07-22T16:29:50Z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88416F82C7EE430F9C12311011DB5A86</vt:lpwstr>
  </property>
</Properties>
</file>