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2年临安区重大基础设施建设任务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5"/>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lang w:val="en-US" w:eastAsia="zh-CN"/>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w:t>
            </w:r>
            <w:r>
              <w:rPr>
                <w:rFonts w:hint="eastAsia" w:ascii="仿宋" w:hAnsi="仿宋" w:eastAsia="仿宋" w:cs="仿宋"/>
                <w:color w:val="000000" w:themeColor="text1"/>
                <w:spacing w:val="-10"/>
                <w:sz w:val="24"/>
                <w:szCs w:val="24"/>
                <w14:textFill>
                  <w14:solidFill>
                    <w14:schemeClr w14:val="tx1"/>
                  </w14:solidFill>
                </w14:textFill>
              </w:rPr>
              <w:t>前</w:t>
            </w:r>
            <w:r>
              <w:rPr>
                <w:rFonts w:hint="eastAsia" w:ascii="仿宋" w:hAnsi="仿宋" w:eastAsia="仿宋" w:cs="仿宋"/>
                <w:color w:val="000000" w:themeColor="text1"/>
                <w:spacing w:val="-10"/>
                <w:sz w:val="24"/>
                <w:szCs w:val="24"/>
                <w:lang w:val="en-US" w:eastAsia="zh-CN"/>
                <w14:textFill>
                  <w14:solidFill>
                    <w14:schemeClr w14:val="tx1"/>
                  </w14:solidFill>
                </w14:textFill>
              </w:rPr>
              <w:t>建成的市政道路（含排水、桥梁、隧道）项目</w:t>
            </w:r>
            <w:r>
              <w:rPr>
                <w:rFonts w:hint="eastAsia" w:ascii="仿宋" w:hAnsi="仿宋" w:eastAsia="仿宋" w:cs="仿宋"/>
                <w:color w:val="000000" w:themeColor="text1"/>
                <w:spacing w:val="-10"/>
                <w:sz w:val="24"/>
                <w:szCs w:val="24"/>
                <w:lang w:eastAsia="zh-CN"/>
                <w14:textFill>
                  <w14:solidFill>
                    <w14:schemeClr w14:val="tx1"/>
                  </w14:solidFill>
                </w14:textFill>
              </w:rPr>
              <w:t>完成</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w:t>
            </w: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2</w:t>
            </w:r>
            <w:r>
              <w:rPr>
                <w:rFonts w:hint="eastAsia" w:ascii="仿宋" w:hAnsi="仿宋" w:eastAsia="仿宋" w:cs="仿宋"/>
                <w:color w:val="000000" w:themeColor="text1"/>
                <w:spacing w:val="-10"/>
                <w:sz w:val="24"/>
                <w:szCs w:val="24"/>
                <w:lang w:val="en-US" w:eastAsia="zh-CN"/>
                <w14:textFill>
                  <w14:solidFill>
                    <w14:schemeClr w14:val="tx1"/>
                  </w14:solidFill>
                </w14:textFill>
              </w:rPr>
              <w:t>1</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底前建成的</w:t>
            </w:r>
            <w:r>
              <w:rPr>
                <w:rFonts w:hint="eastAsia" w:ascii="仿宋" w:hAnsi="仿宋" w:eastAsia="仿宋" w:cs="仿宋"/>
                <w:color w:val="000000" w:themeColor="text1"/>
                <w:spacing w:val="-10"/>
                <w:sz w:val="24"/>
                <w:szCs w:val="24"/>
                <w14:textFill>
                  <w14:solidFill>
                    <w14:schemeClr w14:val="tx1"/>
                  </w14:solidFill>
                </w14:textFill>
              </w:rPr>
              <w:t>项目完成</w:t>
            </w:r>
            <w:r>
              <w:rPr>
                <w:rFonts w:hint="eastAsia" w:ascii="仿宋" w:hAnsi="仿宋" w:eastAsia="仿宋" w:cs="仿宋"/>
                <w:color w:val="000000" w:themeColor="text1"/>
                <w:spacing w:val="-10"/>
                <w:sz w:val="24"/>
                <w:szCs w:val="24"/>
                <w:lang w:val="en-US" w:eastAsia="zh-CN"/>
                <w14:textFill>
                  <w14:solidFill>
                    <w14:schemeClr w14:val="tx1"/>
                  </w14:solidFill>
                </w14:textFill>
              </w:rPr>
              <w:t>子项总量</w:t>
            </w:r>
            <w:r>
              <w:rPr>
                <w:rFonts w:ascii="仿宋" w:hAnsi="仿宋" w:eastAsia="仿宋" w:cs="仿宋"/>
                <w:color w:val="000000" w:themeColor="text1"/>
                <w:spacing w:val="-10"/>
                <w:sz w:val="24"/>
                <w:szCs w:val="24"/>
                <w14:textFill>
                  <w14:solidFill>
                    <w14:schemeClr w14:val="tx1"/>
                  </w14:solidFill>
                </w14:textFill>
              </w:rPr>
              <w:t>80%</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14:textFill>
                  <w14:solidFill>
                    <w14:schemeClr w14:val="tx1"/>
                  </w14:solidFill>
                </w14:textFill>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14:textFill>
                  <w14:solidFill>
                    <w14:schemeClr w14:val="tx1"/>
                  </w14:solidFill>
                </w14:textFill>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14:textFill>
                  <w14:solidFill>
                    <w14:schemeClr w14:val="tx1"/>
                  </w14:solidFill>
                </w14:textFill>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14:textFill>
            <w14:solidFill>
              <w14:schemeClr w14:val="tx1"/>
            </w14:solidFill>
          </w14:textFill>
        </w:rPr>
      </w:pPr>
    </w:p>
    <w:p>
      <w:pPr>
        <w:jc w:val="center"/>
        <w:rPr>
          <w:rFonts w:ascii="黑体" w:hAnsi="黑体" w:eastAsia="黑体" w:cs="黑体"/>
          <w:color w:val="000000" w:themeColor="text1"/>
          <w:sz w:val="44"/>
          <w:szCs w:val="44"/>
          <w14:textFill>
            <w14:solidFill>
              <w14:schemeClr w14:val="tx1"/>
            </w14:solidFill>
          </w14:textFill>
        </w:rPr>
      </w:pPr>
    </w:p>
    <w:p>
      <w:pPr>
        <w:jc w:val="center"/>
        <w:rPr>
          <w:rFonts w:ascii="黑体" w:hAnsi="黑体" w:eastAsia="黑体" w:cs="Times New Roman"/>
          <w:color w:val="000000" w:themeColor="text1"/>
          <w:sz w:val="44"/>
          <w:szCs w:val="44"/>
          <w14:textFill>
            <w14:solidFill>
              <w14:schemeClr w14:val="tx1"/>
            </w14:solidFill>
          </w14:textFill>
        </w:rPr>
      </w:pPr>
      <w:r>
        <w:rPr>
          <w:rFonts w:ascii="黑体" w:hAnsi="黑体" w:eastAsia="黑体" w:cs="黑体"/>
          <w:color w:val="000000" w:themeColor="text1"/>
          <w:sz w:val="44"/>
          <w:szCs w:val="44"/>
          <w14:textFill>
            <w14:solidFill>
              <w14:schemeClr w14:val="tx1"/>
            </w14:solidFill>
          </w14:textFill>
        </w:rPr>
        <w:t>202</w:t>
      </w:r>
      <w:r>
        <w:rPr>
          <w:rFonts w:hint="eastAsia" w:ascii="黑体" w:hAnsi="黑体" w:eastAsia="黑体" w:cs="黑体"/>
          <w:color w:val="000000" w:themeColor="text1"/>
          <w:sz w:val="44"/>
          <w:szCs w:val="44"/>
          <w14:textFill>
            <w14:solidFill>
              <w14:schemeClr w14:val="tx1"/>
            </w14:solidFill>
          </w14:textFill>
        </w:rPr>
        <w:t>2年临安区重大基础设施建设任务</w:t>
      </w:r>
    </w:p>
    <w:p>
      <w:pPr>
        <w:jc w:val="center"/>
        <w:rPr>
          <w:rFonts w:ascii="黑体" w:hAnsi="黑体" w:eastAsia="黑体" w:cs="Times New Roman"/>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14:textFill>
            <w14:solidFill>
              <w14:schemeClr w14:val="tx1"/>
            </w14:solidFill>
          </w14:textFill>
        </w:rPr>
        <w:t>个性目标</w:t>
      </w:r>
    </w:p>
    <w:tbl>
      <w:tblPr>
        <w:tblStyle w:val="5"/>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序号</w:t>
            </w:r>
          </w:p>
        </w:tc>
        <w:tc>
          <w:tcPr>
            <w:tcW w:w="5917"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目标考核内容及指标</w:t>
            </w:r>
          </w:p>
        </w:tc>
        <w:tc>
          <w:tcPr>
            <w:tcW w:w="1200"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lang w:val="en"/>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城市道路及城镇污水处理设施建设</w:t>
            </w:r>
          </w:p>
        </w:tc>
        <w:tc>
          <w:tcPr>
            <w:tcW w:w="1200" w:type="dxa"/>
            <w:vAlign w:val="center"/>
          </w:tcPr>
          <w:p>
            <w:pPr>
              <w:spacing w:line="320" w:lineRule="exac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快速路建设</w:t>
            </w:r>
          </w:p>
        </w:tc>
        <w:tc>
          <w:tcPr>
            <w:tcW w:w="1200" w:type="dxa"/>
            <w:vAlign w:val="center"/>
          </w:tcPr>
          <w:p>
            <w:pPr>
              <w:spacing w:line="320" w:lineRule="exac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spacing w:line="320" w:lineRule="exact"/>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（二）</w:t>
            </w:r>
          </w:p>
        </w:tc>
        <w:tc>
          <w:tcPr>
            <w:tcW w:w="5917" w:type="dxa"/>
            <w:vAlign w:val="center"/>
          </w:tcPr>
          <w:p>
            <w:pP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地铁重建道路建设</w:t>
            </w:r>
          </w:p>
        </w:tc>
        <w:tc>
          <w:tcPr>
            <w:tcW w:w="1200" w:type="dxa"/>
            <w:vAlign w:val="center"/>
          </w:tcPr>
          <w:p>
            <w:pPr>
              <w:spacing w:line="320" w:lineRule="exact"/>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spacing w:line="320" w:lineRule="exact"/>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（三）</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“断头路”三年行动计划</w:t>
            </w:r>
          </w:p>
        </w:tc>
        <w:tc>
          <w:tcPr>
            <w:tcW w:w="1200" w:type="dxa"/>
            <w:vAlign w:val="center"/>
          </w:tcPr>
          <w:p>
            <w:pPr>
              <w:spacing w:line="320" w:lineRule="exac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建成并开通：星港路南延工程（鹤山街-鹤亭街）、发达路跨苕溪桥项目（发达路-发达北路）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开工：白泥路（西墅街-苕溪北街）、西林街（马溪路-苕溪北街）</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（四）</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主次干路</w:t>
            </w:r>
          </w:p>
        </w:tc>
        <w:tc>
          <w:tcPr>
            <w:tcW w:w="1200" w:type="dxa"/>
            <w:vAlign w:val="center"/>
          </w:tcPr>
          <w:p>
            <w:pPr>
              <w:spacing w:line="320" w:lineRule="exac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观锦街（锦天路—万马路）、平山路道路改建工程（北排街-武肃街）、青山湖湖底隧道及延线道路项目（新横路南延工程）（科技大道-02省道）、星港路跨苕溪桥项目（星港路北延跨苕溪）、滨河南路（崇文路-科技大道）</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hint="eastAsia" w:ascii="仿宋" w:hAnsi="仿宋" w:eastAsia="仿宋" w:cs="仿宋"/>
                <w:spacing w:val="-10"/>
                <w:sz w:val="24"/>
                <w:szCs w:val="24"/>
                <w:lang w:eastAsia="zh-CN"/>
              </w:rPr>
            </w:pPr>
            <w:r>
              <w:rPr>
                <w:rFonts w:hint="eastAsia" w:ascii="仿宋" w:hAnsi="仿宋" w:eastAsia="仿宋" w:cs="仿宋"/>
                <w:spacing w:val="-10"/>
                <w:sz w:val="24"/>
                <w:szCs w:val="24"/>
              </w:rPr>
              <w:t>开工：新城南路项目(一期）（杨岱村-天目路南延）、马溪路综合改造工程(苕溪北街―武肃街)</w:t>
            </w:r>
            <w:r>
              <w:rPr>
                <w:rFonts w:hint="eastAsia" w:ascii="仿宋" w:hAnsi="仿宋" w:eastAsia="仿宋" w:cs="仿宋"/>
                <w:spacing w:val="-10"/>
                <w:sz w:val="24"/>
                <w:szCs w:val="24"/>
                <w:lang w:eastAsia="zh-CN"/>
              </w:rPr>
              <w:t>、吴越街提升改造工程（G329城区段锦天路—玲珑互通）</w:t>
            </w:r>
            <w:bookmarkStart w:id="0" w:name="_GoBack"/>
            <w:bookmarkEnd w:id="0"/>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b/>
                <w:bCs/>
                <w:color w:val="000000" w:themeColor="text1"/>
                <w:spacing w:val="-10"/>
                <w:sz w:val="24"/>
                <w:szCs w:val="24"/>
                <w14:textFill>
                  <w14:solidFill>
                    <w14:schemeClr w14:val="tx1"/>
                  </w14:solidFill>
                </w14:textFill>
              </w:rPr>
              <w:t>（五）</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支路</w:t>
            </w:r>
          </w:p>
        </w:tc>
        <w:tc>
          <w:tcPr>
            <w:tcW w:w="1200" w:type="dxa"/>
            <w:vAlign w:val="center"/>
          </w:tcPr>
          <w:p>
            <w:pPr>
              <w:spacing w:line="320" w:lineRule="exac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建成并开通：横潭路东侧道路（城中街-观锦街）、城北支路三道路工程（苕溪北街-西墅街）、临水一弄（临水路-回龙巷）、农林街（西径山路-农林大路）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spacing w:line="320" w:lineRule="exact"/>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b/>
                <w:bCs/>
                <w:color w:val="000000" w:themeColor="text1"/>
                <w:spacing w:val="-10"/>
                <w:sz w:val="24"/>
                <w:szCs w:val="24"/>
                <w14:textFill>
                  <w14:solidFill>
                    <w14:schemeClr w14:val="tx1"/>
                  </w14:solidFill>
                </w14:textFill>
              </w:rPr>
              <w:t>（六）</w:t>
            </w:r>
          </w:p>
        </w:tc>
        <w:tc>
          <w:tcPr>
            <w:tcW w:w="5917" w:type="dxa"/>
            <w:vAlign w:val="center"/>
          </w:tcPr>
          <w:p>
            <w:pPr>
              <w:adjustRightInd w:val="0"/>
              <w:snapToGrid w:val="0"/>
              <w:spacing w:line="320" w:lineRule="exact"/>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城镇污水处理设施建设</w:t>
            </w:r>
          </w:p>
        </w:tc>
        <w:tc>
          <w:tcPr>
            <w:tcW w:w="1200" w:type="dxa"/>
            <w:vAlign w:val="center"/>
          </w:tcPr>
          <w:p>
            <w:pPr>
              <w:spacing w:line="320" w:lineRule="exac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完成昌化污水处理厂（0.5万吨/日）清洁排放提标改造</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完成龙岗污水处理厂（0.3万吨/日）清洁排放提标改造</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完成於潜污水处理厂（1万吨/日）清洁排放提标改造</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完成污水管网建设共2公里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996" w:type="dxa"/>
            <w:vAlign w:val="center"/>
          </w:tcPr>
          <w:p>
            <w:pPr>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二</w:t>
            </w:r>
          </w:p>
        </w:tc>
        <w:tc>
          <w:tcPr>
            <w:tcW w:w="5917" w:type="dxa"/>
            <w:vAlign w:val="center"/>
          </w:tcPr>
          <w:p>
            <w:pPr>
              <w:jc w:val="left"/>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雨水管网建设</w:t>
            </w:r>
          </w:p>
        </w:tc>
        <w:tc>
          <w:tcPr>
            <w:tcW w:w="1200" w:type="dxa"/>
            <w:vAlign w:val="center"/>
          </w:tcPr>
          <w:p>
            <w:pPr>
              <w:spacing w:line="240" w:lineRule="atLeas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996" w:type="dxa"/>
            <w:vAlign w:val="center"/>
          </w:tcPr>
          <w:p>
            <w:pPr>
              <w:jc w:val="center"/>
              <w:rPr>
                <w:rFonts w:hint="eastAsia" w:ascii="仿宋" w:hAnsi="仿宋" w:eastAsia="仿宋" w:cs="仿宋"/>
                <w:b/>
                <w:bCs/>
                <w:color w:val="000000" w:themeColor="text1"/>
                <w:spacing w:val="-10"/>
                <w:sz w:val="24"/>
                <w:szCs w:val="24"/>
                <w:lang w:val="en-US" w:eastAsia="zh-CN"/>
                <w14:textFill>
                  <w14:solidFill>
                    <w14:schemeClr w14:val="tx1"/>
                  </w14:solidFill>
                </w14:textFill>
              </w:rPr>
            </w:pPr>
            <w:r>
              <w:rPr>
                <w:rFonts w:hint="eastAsia" w:ascii="仿宋" w:hAnsi="仿宋" w:eastAsia="仿宋" w:cs="仿宋"/>
                <w:spacing w:val="-10"/>
                <w:sz w:val="24"/>
                <w:szCs w:val="24"/>
                <w:lang w:val="en-US" w:eastAsia="zh-CN"/>
              </w:rPr>
              <w:t>1</w:t>
            </w:r>
          </w:p>
        </w:tc>
        <w:tc>
          <w:tcPr>
            <w:tcW w:w="5917" w:type="dxa"/>
            <w:vAlign w:val="center"/>
          </w:tcPr>
          <w:p>
            <w:pPr>
              <w:jc w:val="left"/>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spacing w:val="-10"/>
                <w:kern w:val="2"/>
                <w:sz w:val="24"/>
                <w:szCs w:val="24"/>
                <w:highlight w:val="none"/>
                <w:lang w:val="en-US" w:eastAsia="zh-CN" w:bidi="ar-SA"/>
              </w:rPr>
              <w:t>完成雨水管网建设共2公里</w:t>
            </w:r>
          </w:p>
        </w:tc>
        <w:tc>
          <w:tcPr>
            <w:tcW w:w="1200" w:type="dxa"/>
            <w:vAlign w:val="center"/>
          </w:tcPr>
          <w:p>
            <w:pPr>
              <w:spacing w:line="240" w:lineRule="atLeast"/>
              <w:jc w:val="center"/>
              <w:rPr>
                <w:rFonts w:hint="default" w:ascii="仿宋" w:hAnsi="仿宋" w:eastAsia="仿宋" w:cs="仿宋"/>
                <w:color w:val="000000" w:themeColor="text1"/>
                <w:spacing w:val="-10"/>
                <w:sz w:val="24"/>
                <w:szCs w:val="24"/>
                <w:lang w:val="en-US" w:eastAsia="zh-CN"/>
                <w14:textFill>
                  <w14:solidFill>
                    <w14:schemeClr w14:val="tx1"/>
                  </w14:solidFill>
                </w14:textFill>
              </w:rPr>
            </w:pPr>
            <w:r>
              <w:rPr>
                <w:rFonts w:hint="eastAsia" w:ascii="仿宋" w:hAnsi="仿宋" w:eastAsia="仿宋" w:cs="仿宋"/>
                <w:color w:val="000000" w:themeColor="text1"/>
                <w:spacing w:val="-10"/>
                <w:sz w:val="24"/>
                <w:szCs w:val="24"/>
                <w:lang w:val="en-US" w:eastAsia="zh-CN"/>
                <w14:textFill>
                  <w14:solidFill>
                    <w14:schemeClr w14:val="tx1"/>
                  </w14:solidFill>
                </w14:textFill>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996"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三</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河道建设</w:t>
            </w:r>
          </w:p>
        </w:tc>
        <w:tc>
          <w:tcPr>
            <w:tcW w:w="1200" w:type="dxa"/>
            <w:vAlign w:val="center"/>
          </w:tcPr>
          <w:p>
            <w:pPr>
              <w:spacing w:line="240" w:lineRule="atLeas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spacing w:val="-10"/>
                <w:sz w:val="24"/>
                <w:szCs w:val="24"/>
              </w:rPr>
              <w:t>无</w:t>
            </w:r>
          </w:p>
        </w:tc>
        <w:tc>
          <w:tcPr>
            <w:tcW w:w="1200" w:type="dxa"/>
            <w:vAlign w:val="center"/>
          </w:tcPr>
          <w:p>
            <w:pPr>
              <w:spacing w:line="240" w:lineRule="atLeas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四</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海绵城市建设</w:t>
            </w:r>
          </w:p>
        </w:tc>
        <w:tc>
          <w:tcPr>
            <w:tcW w:w="1200" w:type="dxa"/>
            <w:vAlign w:val="center"/>
          </w:tcPr>
          <w:p>
            <w:pPr>
              <w:spacing w:line="240" w:lineRule="atLeas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当年2.64平方公里（建成区面积5%），累计19.56平方公里区域（建成区面积37%）达到海绵城市建设要求，重点打造具有较高海绵显示度的系统化重点建设区域；至少建成一个达标排水分区，区域内项目类型不少于三种（住宅、公共建筑、市政道路、城市水系、城市广场公园绿地等），并至少包括住宅、公共建筑、市政道路三种类型中的两种。</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在全区范围内创建萧临安口袋公园、会锦体育文化公园、杭临城际铁路人民广场站地块开发项目等15个以上海绵示范项目，重点关注央补项目的海绵设计方案及工程实施；至少打造1个海绵设施与中央隔离带、机非隔离带或道侧绿化相结合的示范性道路项目。</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完成杭州市系统化全域推进海绵城市建设项目清单（2021-2023年）中涉及的2022年项目。</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五</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地下空间</w:t>
            </w:r>
            <w:r>
              <w:rPr>
                <w:rFonts w:hint="eastAsia" w:ascii="宋体" w:hAnsi="宋体"/>
                <w:b/>
                <w:bCs/>
                <w:sz w:val="24"/>
                <w:szCs w:val="22"/>
              </w:rPr>
              <w:t>开发利用</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地下空间建设新增量（完工）20万平方米。</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六</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地下综合管廊建设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spacing w:val="-10"/>
                <w:sz w:val="24"/>
                <w:szCs w:val="24"/>
              </w:rPr>
              <w:t>无</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七</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输变电工程建设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出具杭变-泉口220千伏线路工程路径意见</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2</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1月底前签订泉口220千伏变电站110千伏送出工程电缆补差协议，根据进度支付补差款。加快明确线路路径入廊原则，确保电力隧道6月开工建设。</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1月/6月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八</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宋体" w:hAnsi="宋体" w:cs="Times New Roman"/>
                <w:b/>
                <w:bCs/>
                <w:sz w:val="24"/>
                <w:szCs w:val="22"/>
              </w:rPr>
              <w:t>供水管网设施建设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新建供水管网4公里；</w:t>
            </w:r>
          </w:p>
          <w:p>
            <w:pPr>
              <w:jc w:val="left"/>
              <w:rPr>
                <w:rFonts w:ascii="仿宋" w:hAnsi="仿宋" w:eastAsia="仿宋" w:cs="仿宋"/>
                <w:spacing w:val="-10"/>
                <w:sz w:val="24"/>
                <w:szCs w:val="24"/>
              </w:rPr>
            </w:pPr>
            <w:r>
              <w:rPr>
                <w:rFonts w:hint="eastAsia" w:ascii="仿宋" w:hAnsi="仿宋" w:eastAsia="仿宋" w:cs="仿宋"/>
                <w:spacing w:val="-10"/>
                <w:sz w:val="24"/>
                <w:szCs w:val="24"/>
              </w:rPr>
              <w:t>改造供水管网1公里。</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九</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宋体" w:hAnsi="宋体" w:cs="Times New Roman"/>
                <w:b/>
                <w:bCs/>
                <w:sz w:val="24"/>
                <w:szCs w:val="22"/>
              </w:rPr>
              <w:t>停车场库及新能源汽车充电设施建设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按照省民生实事工作标准和考核节点要求，完成新增停车泊位6350个，省民生标准公共泊位600个。年度累计新增停车泊位9500个，其中公共泊位（非临时）1300个。6月底前完成年度各类停车位竣工量原则不低于25%,11月底前完成省民生实事计划建设项目，其他项目完工原则不低于90%。新开工及续建公共停车泊位不少于1500个。</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完成新能源汽车公用充电桩不少于100个。</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绿色建筑及建筑节能</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完成公共建筑节能改造2万平方米，居住建筑节能绿色化改造1万平方米；完成可再生能源建筑应用55万平方米;实施（含完成）建筑太阳能光伏装机容量11.5兆瓦</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辖区单位争创省级绿色施工示范项目不少于2个；完成高星级绿色建筑示范项目立项不少于1个；完成超低能耗建筑示范立项不少于1.5万平方米；完成高替代率可再生能源建筑应用示范立项不少于5万平方米；完成既有公共建筑能效提升示范立项不少于12万平方米；开展绿色生态城区前期储备</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十一</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装配式建筑（建筑工业化）</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全年新开工装配式建筑面积达到80万平方米以上。</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新开工装配式建筑占新建建筑比例达到30%。</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全年新开工装配式住宅面积达到30万平方米以上。</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全年新开工钢结构装配式住宅(含农房)达到1.5万平方米以上。</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十二</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宋体" w:hAnsi="宋体" w:cs="Times New Roman"/>
                <w:b/>
                <w:bCs/>
                <w:sz w:val="24"/>
                <w:szCs w:val="22"/>
              </w:rPr>
              <w:t>千岛湖供水及配套工程</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color w:val="000000" w:themeColor="text1"/>
                <w:spacing w:val="-10"/>
                <w:sz w:val="24"/>
                <w:szCs w:val="24"/>
                <w14:textFill>
                  <w14:solidFill>
                    <w14:schemeClr w14:val="tx1"/>
                  </w14:solidFill>
                </w14:textFill>
              </w:rPr>
              <w:t>无</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bl>
    <w:p>
      <w:pPr>
        <w:rPr>
          <w:color w:val="000000" w:themeColor="text1"/>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RhN2VkNGUyNzllODlhYjIyMjdhODY4YTJhMmUifQ=="/>
  </w:docVars>
  <w:rsids>
    <w:rsidRoot w:val="0045712E"/>
    <w:rsid w:val="001D5FB4"/>
    <w:rsid w:val="002B51B8"/>
    <w:rsid w:val="00456A5B"/>
    <w:rsid w:val="0045712E"/>
    <w:rsid w:val="006C6E8D"/>
    <w:rsid w:val="007C7E0C"/>
    <w:rsid w:val="007D4659"/>
    <w:rsid w:val="00875D9A"/>
    <w:rsid w:val="00CA7B19"/>
    <w:rsid w:val="00D039A3"/>
    <w:rsid w:val="00D73BF6"/>
    <w:rsid w:val="00E27D72"/>
    <w:rsid w:val="00FD5CC2"/>
    <w:rsid w:val="05B643E7"/>
    <w:rsid w:val="05FEF19A"/>
    <w:rsid w:val="060E0C39"/>
    <w:rsid w:val="0B742B3E"/>
    <w:rsid w:val="0C433CE6"/>
    <w:rsid w:val="1D7FA0C6"/>
    <w:rsid w:val="1E342891"/>
    <w:rsid w:val="1FB6CD7D"/>
    <w:rsid w:val="1FF611F3"/>
    <w:rsid w:val="201B5A1B"/>
    <w:rsid w:val="265300DF"/>
    <w:rsid w:val="2844332A"/>
    <w:rsid w:val="2B1D3CD4"/>
    <w:rsid w:val="2E381CB3"/>
    <w:rsid w:val="2EFDA684"/>
    <w:rsid w:val="2F8C3874"/>
    <w:rsid w:val="31062EA5"/>
    <w:rsid w:val="33257B04"/>
    <w:rsid w:val="364F1FE9"/>
    <w:rsid w:val="41956AE2"/>
    <w:rsid w:val="4991157D"/>
    <w:rsid w:val="4C232C9A"/>
    <w:rsid w:val="579D6934"/>
    <w:rsid w:val="597FE0B5"/>
    <w:rsid w:val="5B1F7C3A"/>
    <w:rsid w:val="60E530F9"/>
    <w:rsid w:val="623F1256"/>
    <w:rsid w:val="62BF61A9"/>
    <w:rsid w:val="685257B8"/>
    <w:rsid w:val="6F3E0D28"/>
    <w:rsid w:val="6FC61B31"/>
    <w:rsid w:val="71B06595"/>
    <w:rsid w:val="7B97E345"/>
    <w:rsid w:val="7CED2324"/>
    <w:rsid w:val="7D7F498B"/>
    <w:rsid w:val="7DFDB91D"/>
    <w:rsid w:val="7E654768"/>
    <w:rsid w:val="B6EDB5DC"/>
    <w:rsid w:val="BFAD9E4F"/>
    <w:rsid w:val="CFEE65FC"/>
    <w:rsid w:val="F8BF2573"/>
    <w:rsid w:val="FB3FE058"/>
    <w:rsid w:val="FD9542B9"/>
    <w:rsid w:val="FFDEB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rFonts w:cs="Calibri"/>
      <w:kern w:val="2"/>
      <w:sz w:val="18"/>
      <w:szCs w:val="18"/>
    </w:rPr>
  </w:style>
  <w:style w:type="character" w:customStyle="1" w:styleId="9">
    <w:name w:val="页脚 字符"/>
    <w:basedOn w:val="7"/>
    <w:link w:val="2"/>
    <w:qFormat/>
    <w:uiPriority w:val="0"/>
    <w:rPr>
      <w:rFonts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568</Words>
  <Characters>3238</Characters>
  <Lines>26</Lines>
  <Paragraphs>7</Paragraphs>
  <TotalTime>0</TotalTime>
  <ScaleCrop>false</ScaleCrop>
  <LinksUpToDate>false</LinksUpToDate>
  <CharactersWithSpaces>3799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2021-01-22T19:53:00Z</dcterms:created>
  <dc:creator>Administrator</dc:creator>
  <cp:lastModifiedBy>user</cp:lastModifiedBy>
  <dcterms:modified xsi:type="dcterms:W3CDTF">2022-07-22T16:29:52Z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45EAFC5B4DBD432D869752C362E28E66</vt:lpwstr>
  </property>
</Properties>
</file>